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w:t>
      </w:r>
      <w:r w:rsidR="001526FA" w:rsidRPr="00C55DE3">
        <w:rPr>
          <w:rFonts w:asciiTheme="minorHAnsi" w:hAnsiTheme="minorHAnsi" w:cstheme="minorHAnsi"/>
          <w:sz w:val="22"/>
          <w:szCs w:val="22"/>
        </w:rPr>
        <w:t>.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w:t>
      </w:r>
      <w:r w:rsidR="001526FA">
        <w:rPr>
          <w:rFonts w:asciiTheme="minorHAnsi" w:hAnsiTheme="minorHAnsi" w:cstheme="minorHAnsi"/>
          <w:sz w:val="22"/>
          <w:szCs w:val="22"/>
        </w:rPr>
        <w:t xml:space="preserve">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389AA054" w:rsidR="00F118A6" w:rsidRPr="00241D19" w:rsidRDefault="00F118A6">
      <w:pPr>
        <w:rPr>
          <w:rFonts w:asciiTheme="minorHAnsi" w:hAnsiTheme="minorHAnsi" w:cstheme="minorHAnsi"/>
          <w:sz w:val="22"/>
          <w:szCs w:val="22"/>
        </w:rPr>
      </w:pP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9"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10"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1"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37622951"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F26821">
        <w:rPr>
          <w:rFonts w:asciiTheme="minorHAnsi" w:hAnsiTheme="minorHAnsi" w:cstheme="minorHAnsi"/>
          <w:sz w:val="22"/>
          <w:szCs w:val="22"/>
        </w:rPr>
        <w:t xml:space="preserve"> Biomedical Diagnostic and Therapeutic Sciences, Specialization in Radiologic Technology</w:t>
      </w:r>
    </w:p>
    <w:p w14:paraId="3701B672" w14:textId="77777777" w:rsidR="00A06BCA" w:rsidRDefault="00A06BCA" w:rsidP="00265383">
      <w:pPr>
        <w:rPr>
          <w:rFonts w:asciiTheme="minorHAnsi" w:hAnsiTheme="minorHAnsi" w:cstheme="minorHAnsi"/>
          <w:sz w:val="22"/>
          <w:szCs w:val="22"/>
        </w:rPr>
      </w:pPr>
    </w:p>
    <w:p w14:paraId="57C10336" w14:textId="4BD7CEEF"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F26821">
        <w:rPr>
          <w:rFonts w:asciiTheme="minorHAnsi" w:hAnsiTheme="minorHAnsi" w:cstheme="minorHAnsi"/>
          <w:sz w:val="22"/>
          <w:szCs w:val="22"/>
        </w:rPr>
        <w:t xml:space="preserve">  School of Health Sciences</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2694468D"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F26821">
            <w:rPr>
              <w:rFonts w:ascii="MS Gothic" w:eastAsia="MS Gothic" w:hAnsi="MS Gothic" w:cstheme="minorHAnsi"/>
              <w:sz w:val="22"/>
              <w:szCs w:val="22"/>
            </w:rPr>
            <w:t>X</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78F6F3B4"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F26821">
        <w:rPr>
          <w:rFonts w:asciiTheme="minorHAnsi" w:hAnsiTheme="minorHAnsi" w:cstheme="minorHAnsi"/>
          <w:sz w:val="22"/>
          <w:szCs w:val="22"/>
        </w:rPr>
        <w:t xml:space="preserve"> Joint Review Committee on Education in Radiologic Technology</w:t>
      </w:r>
    </w:p>
    <w:p w14:paraId="68E6D466" w14:textId="77777777" w:rsidR="000B04CB" w:rsidRDefault="000B04CB" w:rsidP="009223A5">
      <w:pPr>
        <w:rPr>
          <w:rFonts w:asciiTheme="minorHAnsi" w:hAnsiTheme="minorHAnsi" w:cstheme="minorHAnsi"/>
          <w:sz w:val="22"/>
          <w:szCs w:val="22"/>
        </w:rPr>
      </w:pPr>
    </w:p>
    <w:p w14:paraId="5F28CF1E" w14:textId="7C8294FD"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F26821">
        <w:rPr>
          <w:rFonts w:asciiTheme="minorHAnsi" w:hAnsiTheme="minorHAnsi" w:cstheme="minorHAnsi"/>
          <w:sz w:val="22"/>
          <w:szCs w:val="22"/>
        </w:rPr>
        <w:t xml:space="preserve"> </w:t>
      </w:r>
      <w:r w:rsidR="00C55DE3" w:rsidRPr="00C55DE3">
        <w:rPr>
          <w:rFonts w:asciiTheme="minorHAnsi" w:hAnsiTheme="minorHAnsi" w:cstheme="minorHAnsi"/>
          <w:sz w:val="22"/>
          <w:szCs w:val="22"/>
        </w:rPr>
        <w:t>6/22</w:t>
      </w:r>
      <w:r w:rsidR="00F26821" w:rsidRPr="00C55DE3">
        <w:rPr>
          <w:rFonts w:asciiTheme="minorHAnsi" w:hAnsiTheme="minorHAnsi" w:cstheme="minorHAnsi"/>
          <w:sz w:val="22"/>
          <w:szCs w:val="22"/>
        </w:rPr>
        <w:t>/16</w:t>
      </w:r>
    </w:p>
    <w:p w14:paraId="3B9E8944" w14:textId="77777777" w:rsidR="009223A5" w:rsidRPr="00265383" w:rsidRDefault="009223A5" w:rsidP="009223A5">
      <w:pPr>
        <w:rPr>
          <w:rFonts w:asciiTheme="minorHAnsi" w:hAnsiTheme="minorHAnsi" w:cstheme="minorHAnsi"/>
          <w:sz w:val="22"/>
          <w:szCs w:val="22"/>
        </w:rPr>
      </w:pPr>
    </w:p>
    <w:p w14:paraId="4C04C799" w14:textId="7D8109F0"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F26821">
        <w:rPr>
          <w:rFonts w:asciiTheme="minorHAnsi" w:hAnsiTheme="minorHAnsi" w:cstheme="minorHAnsi"/>
          <w:sz w:val="22"/>
          <w:szCs w:val="22"/>
        </w:rPr>
        <w:t>Kristin Landis-Piwowar</w:t>
      </w:r>
      <w:proofErr w:type="gramStart"/>
      <w:r w:rsidR="00F26821">
        <w:rPr>
          <w:rFonts w:asciiTheme="minorHAnsi" w:hAnsiTheme="minorHAnsi" w:cstheme="minorHAnsi"/>
          <w:sz w:val="22"/>
          <w:szCs w:val="22"/>
        </w:rPr>
        <w:t>;  landispi@oakland.edu</w:t>
      </w:r>
      <w:proofErr w:type="gramEnd"/>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E6A26E0" w14:textId="5A6733B2"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F26821">
        <w:rPr>
          <w:rFonts w:asciiTheme="minorHAnsi" w:hAnsiTheme="minorHAnsi" w:cstheme="minorHAnsi"/>
          <w:sz w:val="22"/>
          <w:szCs w:val="22"/>
        </w:rPr>
        <w:t xml:space="preserve">  Lynne Williams</w:t>
      </w:r>
      <w:proofErr w:type="gramStart"/>
      <w:r w:rsidR="00F26821">
        <w:rPr>
          <w:rFonts w:asciiTheme="minorHAnsi" w:hAnsiTheme="minorHAnsi" w:cstheme="minorHAnsi"/>
          <w:sz w:val="22"/>
          <w:szCs w:val="22"/>
        </w:rPr>
        <w:t>;  jlwillia@oakland.edu</w:t>
      </w:r>
      <w:proofErr w:type="gramEnd"/>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79624799" w14:textId="132FAFF2"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F26821">
        <w:rPr>
          <w:rFonts w:asciiTheme="minorHAnsi" w:hAnsiTheme="minorHAnsi" w:cstheme="minorHAnsi"/>
          <w:sz w:val="22"/>
          <w:szCs w:val="22"/>
        </w:rPr>
        <w:t xml:space="preserve">  Richard </w:t>
      </w:r>
      <w:proofErr w:type="spellStart"/>
      <w:r w:rsidR="00F26821">
        <w:rPr>
          <w:rFonts w:asciiTheme="minorHAnsi" w:hAnsiTheme="minorHAnsi" w:cstheme="minorHAnsi"/>
          <w:sz w:val="22"/>
          <w:szCs w:val="22"/>
        </w:rPr>
        <w:t>Rozek</w:t>
      </w:r>
      <w:proofErr w:type="spellEnd"/>
      <w:proofErr w:type="gramStart"/>
      <w:r w:rsidR="00F26821">
        <w:rPr>
          <w:rFonts w:asciiTheme="minorHAnsi" w:hAnsiTheme="minorHAnsi" w:cstheme="minorHAnsi"/>
          <w:sz w:val="22"/>
          <w:szCs w:val="22"/>
        </w:rPr>
        <w:t>;  rozek@oakland.edu</w:t>
      </w:r>
      <w:proofErr w:type="gramEnd"/>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w:t>
      </w:r>
      <w:r w:rsidRPr="00C55DE3">
        <w:rPr>
          <w:rFonts w:asciiTheme="minorHAnsi" w:hAnsiTheme="minorHAnsi" w:cstheme="minorHAnsi"/>
          <w:i/>
          <w:sz w:val="22"/>
          <w:szCs w:val="22"/>
        </w:rPr>
        <w:t>.  Use the exact language of your accrediting body.</w:t>
      </w:r>
      <w:r w:rsidR="0050568A" w:rsidRPr="00C55DE3">
        <w:rPr>
          <w:rFonts w:asciiTheme="minorHAnsi" w:hAnsiTheme="minorHAnsi" w:cstheme="minorHAnsi"/>
          <w:i/>
          <w:sz w:val="22"/>
          <w:szCs w:val="22"/>
        </w:rPr>
        <w:t xml:space="preserve"> In addition, you must provide </w:t>
      </w:r>
      <w:r w:rsidR="005A260E" w:rsidRPr="00C55DE3">
        <w:rPr>
          <w:rFonts w:asciiTheme="minorHAnsi" w:hAnsiTheme="minorHAnsi" w:cstheme="minorHAnsi"/>
          <w:i/>
          <w:sz w:val="22"/>
          <w:szCs w:val="22"/>
        </w:rPr>
        <w:t xml:space="preserve">the location of </w:t>
      </w:r>
      <w:r w:rsidR="0050568A" w:rsidRPr="00C55DE3">
        <w:rPr>
          <w:rFonts w:asciiTheme="minorHAnsi" w:hAnsiTheme="minorHAnsi" w:cstheme="minorHAnsi"/>
          <w:i/>
          <w:sz w:val="22"/>
          <w:szCs w:val="22"/>
        </w:rPr>
        <w:t>where members of the UAC can find this language – either a page number in a document or a hyperlink to the appropriate location</w:t>
      </w:r>
      <w:r w:rsidR="005A260E" w:rsidRPr="00C55DE3">
        <w:rPr>
          <w:rFonts w:asciiTheme="minorHAnsi" w:hAnsiTheme="minorHAnsi" w:cstheme="minorHAnsi"/>
          <w:i/>
          <w:sz w:val="22"/>
          <w:szCs w:val="22"/>
        </w:rPr>
        <w:t xml:space="preserve"> on the website of your accrediting agency</w:t>
      </w:r>
      <w:r w:rsidR="0050568A" w:rsidRPr="00C55DE3">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588"/>
        <w:gridCol w:w="6590"/>
        <w:gridCol w:w="1998"/>
      </w:tblGrid>
      <w:tr w:rsidR="0050568A" w14:paraId="0FAFA9BD" w14:textId="3008F9AD" w:rsidTr="0050568A">
        <w:tc>
          <w:tcPr>
            <w:tcW w:w="458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6B466B" w14:paraId="2C1638FA" w14:textId="559EB656" w:rsidTr="0050568A">
        <w:tc>
          <w:tcPr>
            <w:tcW w:w="4588" w:type="dxa"/>
            <w:tcBorders>
              <w:top w:val="single" w:sz="4" w:space="0" w:color="auto"/>
            </w:tcBorders>
          </w:tcPr>
          <w:p w14:paraId="610F80A3" w14:textId="66D45DB3" w:rsidR="006B466B" w:rsidRDefault="006B466B"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14:paraId="1A0E6EB9"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1.10</w:t>
            </w:r>
            <w:r w:rsidRPr="006B466B">
              <w:rPr>
                <w:rFonts w:asciiTheme="minorHAnsi" w:hAnsiTheme="minorHAnsi" w:cstheme="minorHAnsi"/>
                <w:b/>
                <w:sz w:val="22"/>
                <w:szCs w:val="22"/>
              </w:rPr>
              <w:tab/>
              <w:t xml:space="preserve">Makes the program’s mission statement, goals, and student learning outcomes readily </w:t>
            </w:r>
            <w:r w:rsidRPr="006B466B">
              <w:rPr>
                <w:rFonts w:asciiTheme="minorHAnsi" w:hAnsiTheme="minorHAnsi" w:cstheme="minorHAnsi"/>
                <w:b/>
                <w:sz w:val="22"/>
                <w:szCs w:val="22"/>
              </w:rPr>
              <w:tab/>
              <w:t>available to students, faculty, administrators, and the general public.</w:t>
            </w:r>
          </w:p>
          <w:p w14:paraId="36BA7B69" w14:textId="77777777" w:rsidR="006B466B" w:rsidRPr="006B466B" w:rsidRDefault="006B466B" w:rsidP="006B466B">
            <w:pPr>
              <w:rPr>
                <w:rFonts w:asciiTheme="minorHAnsi" w:hAnsiTheme="minorHAnsi" w:cstheme="minorHAnsi"/>
                <w:b/>
                <w:sz w:val="22"/>
                <w:szCs w:val="22"/>
              </w:rPr>
            </w:pPr>
          </w:p>
          <w:p w14:paraId="2B1D3A92" w14:textId="77777777" w:rsidR="006B466B" w:rsidRPr="006B466B" w:rsidRDefault="006B466B" w:rsidP="006B466B">
            <w:pPr>
              <w:rPr>
                <w:rFonts w:asciiTheme="minorHAnsi" w:hAnsiTheme="minorHAnsi" w:cstheme="minorHAnsi"/>
                <w:b/>
                <w:i/>
                <w:sz w:val="22"/>
                <w:szCs w:val="22"/>
              </w:rPr>
            </w:pPr>
            <w:r w:rsidRPr="006B466B">
              <w:rPr>
                <w:rFonts w:asciiTheme="minorHAnsi" w:hAnsiTheme="minorHAnsi" w:cstheme="minorHAnsi"/>
                <w:b/>
                <w:i/>
                <w:sz w:val="22"/>
                <w:szCs w:val="22"/>
              </w:rPr>
              <w:t>Explanation:</w:t>
            </w:r>
          </w:p>
          <w:p w14:paraId="1B5CBB33"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 xml:space="preserve">Program accountability is enhanced by making its mission statement, goals, and student learning outcomes available </w:t>
            </w:r>
          </w:p>
          <w:p w14:paraId="4F8643EE" w14:textId="77777777" w:rsidR="006B466B" w:rsidRPr="006B466B" w:rsidRDefault="006B466B" w:rsidP="006B466B">
            <w:pPr>
              <w:rPr>
                <w:rFonts w:asciiTheme="minorHAnsi" w:hAnsiTheme="minorHAnsi" w:cstheme="minorHAnsi"/>
                <w:sz w:val="22"/>
                <w:szCs w:val="22"/>
              </w:rPr>
            </w:pPr>
            <w:proofErr w:type="gramStart"/>
            <w:r w:rsidRPr="006B466B">
              <w:rPr>
                <w:rFonts w:asciiTheme="minorHAnsi" w:hAnsiTheme="minorHAnsi" w:cstheme="minorHAnsi"/>
                <w:sz w:val="22"/>
                <w:szCs w:val="22"/>
              </w:rPr>
              <w:t>to</w:t>
            </w:r>
            <w:proofErr w:type="gramEnd"/>
            <w:r w:rsidRPr="006B466B">
              <w:rPr>
                <w:rFonts w:asciiTheme="minorHAnsi" w:hAnsiTheme="minorHAnsi" w:cstheme="minorHAnsi"/>
                <w:sz w:val="22"/>
                <w:szCs w:val="22"/>
              </w:rPr>
              <w:t xml:space="preserve"> the program’s communities of interest on the institution’s/program’s Web site to assure transparency and </w:t>
            </w:r>
          </w:p>
          <w:p w14:paraId="6CE8E856" w14:textId="77777777" w:rsidR="006B466B" w:rsidRPr="006B466B" w:rsidRDefault="006B466B" w:rsidP="006B466B">
            <w:pPr>
              <w:rPr>
                <w:rFonts w:asciiTheme="minorHAnsi" w:hAnsiTheme="minorHAnsi" w:cstheme="minorHAnsi"/>
                <w:sz w:val="22"/>
                <w:szCs w:val="22"/>
              </w:rPr>
            </w:pPr>
            <w:proofErr w:type="gramStart"/>
            <w:r w:rsidRPr="006B466B">
              <w:rPr>
                <w:rFonts w:asciiTheme="minorHAnsi" w:hAnsiTheme="minorHAnsi" w:cstheme="minorHAnsi"/>
                <w:sz w:val="22"/>
                <w:szCs w:val="22"/>
              </w:rPr>
              <w:t>of</w:t>
            </w:r>
            <w:proofErr w:type="gramEnd"/>
            <w:r w:rsidRPr="006B466B">
              <w:rPr>
                <w:rFonts w:asciiTheme="minorHAnsi" w:hAnsiTheme="minorHAnsi" w:cstheme="minorHAnsi"/>
                <w:sz w:val="22"/>
                <w:szCs w:val="22"/>
              </w:rPr>
              <w:t xml:space="preserve"> the educational program.  Requiring the general public to contact the institution/program to request program information is not adequate.</w:t>
            </w:r>
          </w:p>
          <w:p w14:paraId="2AC6EA46" w14:textId="35A41B66" w:rsidR="006B466B" w:rsidRDefault="006B466B" w:rsidP="00276F4B">
            <w:pPr>
              <w:rPr>
                <w:rFonts w:asciiTheme="minorHAnsi" w:hAnsiTheme="minorHAnsi" w:cstheme="minorHAnsi"/>
                <w:sz w:val="22"/>
                <w:szCs w:val="22"/>
              </w:rPr>
            </w:pPr>
          </w:p>
        </w:tc>
        <w:tc>
          <w:tcPr>
            <w:tcW w:w="1998" w:type="dxa"/>
            <w:tcBorders>
              <w:top w:val="single" w:sz="4" w:space="0" w:color="auto"/>
            </w:tcBorders>
          </w:tcPr>
          <w:p w14:paraId="44C5DC6E" w14:textId="52F41DED" w:rsidR="006B466B" w:rsidRDefault="006B466B" w:rsidP="00276F4B">
            <w:pPr>
              <w:rPr>
                <w:rFonts w:asciiTheme="minorHAnsi" w:hAnsiTheme="minorHAnsi" w:cstheme="minorHAnsi"/>
                <w:sz w:val="22"/>
                <w:szCs w:val="22"/>
              </w:rPr>
            </w:pPr>
            <w:r>
              <w:rPr>
                <w:rFonts w:asciiTheme="minorHAnsi" w:hAnsiTheme="minorHAnsi" w:cstheme="minorHAnsi"/>
                <w:sz w:val="22"/>
                <w:szCs w:val="22"/>
              </w:rPr>
              <w:t>Page 16 of Standards_2014-Radiography document</w:t>
            </w:r>
          </w:p>
        </w:tc>
      </w:tr>
      <w:tr w:rsidR="006B466B" w14:paraId="6ABEDAB4" w14:textId="75A643F8" w:rsidTr="0050568A">
        <w:tc>
          <w:tcPr>
            <w:tcW w:w="4588" w:type="dxa"/>
          </w:tcPr>
          <w:p w14:paraId="6B94957A" w14:textId="1FB8D5E1" w:rsidR="006B466B" w:rsidRDefault="006B466B"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14:paraId="028BD1B6"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Standard Five:</w:t>
            </w:r>
            <w:r w:rsidRPr="006B466B">
              <w:rPr>
                <w:rFonts w:asciiTheme="minorHAnsi" w:hAnsiTheme="minorHAnsi" w:cstheme="minorHAnsi"/>
                <w:b/>
                <w:sz w:val="22"/>
                <w:szCs w:val="22"/>
              </w:rPr>
              <w:tab/>
              <w:t xml:space="preserve">The program develops and implements a system of planning and evaluation of </w:t>
            </w:r>
            <w:r w:rsidRPr="006B466B">
              <w:rPr>
                <w:rFonts w:asciiTheme="minorHAnsi" w:hAnsiTheme="minorHAnsi" w:cstheme="minorHAnsi"/>
                <w:b/>
                <w:sz w:val="22"/>
                <w:szCs w:val="22"/>
              </w:rPr>
              <w:tab/>
              <w:t xml:space="preserve">student learning and program effectiveness outcomes in support of its mission.  </w:t>
            </w:r>
          </w:p>
          <w:p w14:paraId="48F8E924" w14:textId="77777777" w:rsidR="006B466B" w:rsidRPr="006B466B" w:rsidRDefault="006B466B" w:rsidP="006B466B">
            <w:pPr>
              <w:rPr>
                <w:rFonts w:asciiTheme="minorHAnsi" w:hAnsiTheme="minorHAnsi" w:cstheme="minorHAnsi"/>
                <w:sz w:val="22"/>
                <w:szCs w:val="22"/>
              </w:rPr>
            </w:pPr>
          </w:p>
          <w:p w14:paraId="1014E280" w14:textId="77777777" w:rsidR="006B466B" w:rsidRPr="006B466B" w:rsidRDefault="006B466B" w:rsidP="006B466B">
            <w:pPr>
              <w:rPr>
                <w:rFonts w:asciiTheme="minorHAnsi" w:hAnsiTheme="minorHAnsi" w:cstheme="minorHAnsi"/>
                <w:b/>
                <w:bCs/>
                <w:sz w:val="22"/>
                <w:szCs w:val="22"/>
              </w:rPr>
            </w:pPr>
            <w:r w:rsidRPr="006B466B">
              <w:rPr>
                <w:rFonts w:asciiTheme="minorHAnsi" w:hAnsiTheme="minorHAnsi" w:cstheme="minorHAnsi"/>
                <w:b/>
                <w:bCs/>
                <w:sz w:val="22"/>
                <w:szCs w:val="22"/>
              </w:rPr>
              <w:t>Objectives:</w:t>
            </w:r>
          </w:p>
          <w:p w14:paraId="0C41F982"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ab/>
              <w:t xml:space="preserve">In support of </w:t>
            </w:r>
            <w:r w:rsidRPr="006B466B">
              <w:rPr>
                <w:rFonts w:asciiTheme="minorHAnsi" w:hAnsiTheme="minorHAnsi" w:cstheme="minorHAnsi"/>
                <w:b/>
                <w:bCs/>
                <w:sz w:val="22"/>
                <w:szCs w:val="22"/>
              </w:rPr>
              <w:t>Standard Five</w:t>
            </w:r>
            <w:r w:rsidRPr="006B466B">
              <w:rPr>
                <w:rFonts w:asciiTheme="minorHAnsi" w:hAnsiTheme="minorHAnsi" w:cstheme="minorHAnsi"/>
                <w:sz w:val="22"/>
                <w:szCs w:val="22"/>
              </w:rPr>
              <w:t>, the program:</w:t>
            </w:r>
          </w:p>
          <w:p w14:paraId="5A0D9BC2" w14:textId="77777777" w:rsidR="006B466B" w:rsidRPr="006B466B" w:rsidRDefault="006B466B" w:rsidP="006B466B">
            <w:pPr>
              <w:rPr>
                <w:rFonts w:asciiTheme="minorHAnsi" w:hAnsiTheme="minorHAnsi" w:cstheme="minorHAnsi"/>
                <w:b/>
                <w:sz w:val="22"/>
                <w:szCs w:val="22"/>
              </w:rPr>
            </w:pPr>
          </w:p>
          <w:p w14:paraId="571D4FC5"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Student Learning</w:t>
            </w:r>
          </w:p>
          <w:p w14:paraId="1A8A20CB" w14:textId="77777777" w:rsidR="006B466B" w:rsidRPr="006B466B" w:rsidRDefault="006B466B" w:rsidP="006B466B">
            <w:pPr>
              <w:rPr>
                <w:rFonts w:asciiTheme="minorHAnsi" w:hAnsiTheme="minorHAnsi" w:cstheme="minorHAnsi"/>
                <w:b/>
                <w:sz w:val="22"/>
                <w:szCs w:val="22"/>
              </w:rPr>
            </w:pPr>
          </w:p>
          <w:p w14:paraId="4018D89F"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5.1</w:t>
            </w:r>
            <w:r w:rsidRPr="006B466B">
              <w:rPr>
                <w:rFonts w:asciiTheme="minorHAnsi" w:hAnsiTheme="minorHAnsi" w:cstheme="minorHAnsi"/>
                <w:sz w:val="22"/>
                <w:szCs w:val="22"/>
              </w:rPr>
              <w:tab/>
              <w:t>Develops an assessment plan that, at a minimum, measures the program’s student learning outcomes in relation to the following goals:  clinical competence, critical thinking, professionalism, and communication skills.</w:t>
            </w:r>
          </w:p>
          <w:p w14:paraId="143B338A" w14:textId="77777777" w:rsidR="006B466B" w:rsidRPr="006B466B" w:rsidRDefault="006B466B" w:rsidP="006B466B">
            <w:pPr>
              <w:rPr>
                <w:rFonts w:asciiTheme="minorHAnsi" w:hAnsiTheme="minorHAnsi" w:cstheme="minorHAnsi"/>
                <w:sz w:val="22"/>
                <w:szCs w:val="22"/>
              </w:rPr>
            </w:pPr>
          </w:p>
          <w:p w14:paraId="3E34FE90"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Program Effectiveness</w:t>
            </w:r>
          </w:p>
          <w:p w14:paraId="1216B474" w14:textId="77777777" w:rsidR="006B466B" w:rsidRPr="006B466B" w:rsidRDefault="006B466B" w:rsidP="006B466B">
            <w:pPr>
              <w:rPr>
                <w:rFonts w:asciiTheme="minorHAnsi" w:hAnsiTheme="minorHAnsi" w:cstheme="minorHAnsi"/>
                <w:b/>
                <w:sz w:val="22"/>
                <w:szCs w:val="22"/>
              </w:rPr>
            </w:pPr>
          </w:p>
          <w:p w14:paraId="0C158D53"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5.2</w:t>
            </w:r>
            <w:r w:rsidRPr="006B466B">
              <w:rPr>
                <w:rFonts w:asciiTheme="minorHAnsi" w:hAnsiTheme="minorHAnsi" w:cstheme="minorHAnsi"/>
                <w:sz w:val="22"/>
                <w:szCs w:val="22"/>
              </w:rPr>
              <w:tab/>
              <w:t>Documents the following program effectiveness data:</w:t>
            </w:r>
          </w:p>
          <w:p w14:paraId="31DB720F" w14:textId="77777777" w:rsidR="006B466B" w:rsidRPr="006B466B" w:rsidRDefault="006B466B" w:rsidP="006B466B">
            <w:pPr>
              <w:numPr>
                <w:ilvl w:val="0"/>
                <w:numId w:val="14"/>
              </w:numPr>
              <w:rPr>
                <w:rFonts w:asciiTheme="minorHAnsi" w:hAnsiTheme="minorHAnsi" w:cstheme="minorHAnsi"/>
                <w:bCs/>
                <w:sz w:val="22"/>
                <w:szCs w:val="22"/>
              </w:rPr>
            </w:pPr>
            <w:r w:rsidRPr="006B466B">
              <w:rPr>
                <w:rFonts w:asciiTheme="minorHAnsi" w:hAnsiTheme="minorHAnsi" w:cstheme="minorHAnsi"/>
                <w:bCs/>
                <w:sz w:val="22"/>
                <w:szCs w:val="22"/>
              </w:rPr>
              <w:t>Five-year average credentialing examination pass rate of not less than 75 percent at first attempt within six months of graduation,</w:t>
            </w:r>
          </w:p>
          <w:p w14:paraId="4AB3792C" w14:textId="77777777" w:rsidR="006B466B" w:rsidRPr="006B466B" w:rsidRDefault="006B466B" w:rsidP="006B466B">
            <w:pPr>
              <w:numPr>
                <w:ilvl w:val="0"/>
                <w:numId w:val="14"/>
              </w:numPr>
              <w:rPr>
                <w:rFonts w:asciiTheme="minorHAnsi" w:hAnsiTheme="minorHAnsi" w:cstheme="minorHAnsi"/>
                <w:bCs/>
                <w:sz w:val="22"/>
                <w:szCs w:val="22"/>
              </w:rPr>
            </w:pPr>
            <w:r w:rsidRPr="006B466B">
              <w:rPr>
                <w:rFonts w:asciiTheme="minorHAnsi" w:hAnsiTheme="minorHAnsi" w:cstheme="minorHAnsi"/>
                <w:bCs/>
                <w:sz w:val="22"/>
                <w:szCs w:val="22"/>
              </w:rPr>
              <w:t>Five-year average job placement rate of not less than 75 percent within twelve months of graduation,</w:t>
            </w:r>
          </w:p>
          <w:p w14:paraId="623C7103" w14:textId="77777777" w:rsidR="006B466B" w:rsidRPr="006B466B" w:rsidRDefault="006B466B" w:rsidP="006B466B">
            <w:pPr>
              <w:numPr>
                <w:ilvl w:val="0"/>
                <w:numId w:val="14"/>
              </w:numPr>
              <w:rPr>
                <w:rFonts w:asciiTheme="minorHAnsi" w:hAnsiTheme="minorHAnsi" w:cstheme="minorHAnsi"/>
                <w:bCs/>
                <w:sz w:val="22"/>
                <w:szCs w:val="22"/>
              </w:rPr>
            </w:pPr>
            <w:r w:rsidRPr="006B466B">
              <w:rPr>
                <w:rFonts w:asciiTheme="minorHAnsi" w:hAnsiTheme="minorHAnsi" w:cstheme="minorHAnsi"/>
                <w:bCs/>
                <w:sz w:val="22"/>
                <w:szCs w:val="22"/>
              </w:rPr>
              <w:t>Program completion rate,</w:t>
            </w:r>
          </w:p>
          <w:p w14:paraId="43C86CBC" w14:textId="77777777" w:rsidR="006B466B" w:rsidRPr="006B466B" w:rsidRDefault="006B466B" w:rsidP="006B466B">
            <w:pPr>
              <w:numPr>
                <w:ilvl w:val="0"/>
                <w:numId w:val="14"/>
              </w:numPr>
              <w:rPr>
                <w:rFonts w:asciiTheme="minorHAnsi" w:hAnsiTheme="minorHAnsi" w:cstheme="minorHAnsi"/>
                <w:bCs/>
                <w:sz w:val="22"/>
                <w:szCs w:val="22"/>
              </w:rPr>
            </w:pPr>
            <w:r w:rsidRPr="006B466B">
              <w:rPr>
                <w:rFonts w:asciiTheme="minorHAnsi" w:hAnsiTheme="minorHAnsi" w:cstheme="minorHAnsi"/>
                <w:bCs/>
                <w:sz w:val="22"/>
                <w:szCs w:val="22"/>
              </w:rPr>
              <w:t>Graduate satisfaction, and</w:t>
            </w:r>
          </w:p>
          <w:p w14:paraId="7B0050AB" w14:textId="77777777" w:rsidR="006B466B" w:rsidRPr="006B466B" w:rsidRDefault="006B466B" w:rsidP="006B466B">
            <w:pPr>
              <w:numPr>
                <w:ilvl w:val="0"/>
                <w:numId w:val="14"/>
              </w:numPr>
              <w:rPr>
                <w:rFonts w:asciiTheme="minorHAnsi" w:hAnsiTheme="minorHAnsi" w:cstheme="minorHAnsi"/>
                <w:bCs/>
                <w:sz w:val="22"/>
                <w:szCs w:val="22"/>
              </w:rPr>
            </w:pPr>
            <w:r w:rsidRPr="006B466B">
              <w:rPr>
                <w:rFonts w:asciiTheme="minorHAnsi" w:hAnsiTheme="minorHAnsi" w:cstheme="minorHAnsi"/>
                <w:bCs/>
                <w:sz w:val="22"/>
                <w:szCs w:val="22"/>
              </w:rPr>
              <w:t>Employer satisfaction.</w:t>
            </w:r>
          </w:p>
          <w:p w14:paraId="5623B14C" w14:textId="77777777" w:rsidR="006B466B" w:rsidRPr="006B466B" w:rsidRDefault="006B466B" w:rsidP="006B466B">
            <w:pPr>
              <w:rPr>
                <w:rFonts w:asciiTheme="minorHAnsi" w:hAnsiTheme="minorHAnsi" w:cstheme="minorHAnsi"/>
                <w:bCs/>
                <w:sz w:val="22"/>
                <w:szCs w:val="22"/>
              </w:rPr>
            </w:pPr>
          </w:p>
          <w:p w14:paraId="32559025" w14:textId="77777777" w:rsidR="006B466B" w:rsidRPr="006B466B" w:rsidRDefault="006B466B" w:rsidP="006B466B">
            <w:pPr>
              <w:rPr>
                <w:rFonts w:asciiTheme="minorHAnsi" w:hAnsiTheme="minorHAnsi" w:cstheme="minorHAnsi"/>
                <w:bCs/>
                <w:sz w:val="22"/>
                <w:szCs w:val="22"/>
              </w:rPr>
            </w:pPr>
            <w:r w:rsidRPr="006B466B">
              <w:rPr>
                <w:rFonts w:asciiTheme="minorHAnsi" w:hAnsiTheme="minorHAnsi" w:cstheme="minorHAnsi"/>
                <w:sz w:val="22"/>
                <w:szCs w:val="22"/>
              </w:rPr>
              <w:t>5.3</w:t>
            </w:r>
            <w:r w:rsidRPr="006B466B">
              <w:rPr>
                <w:rFonts w:asciiTheme="minorHAnsi" w:hAnsiTheme="minorHAnsi" w:cstheme="minorHAnsi"/>
                <w:sz w:val="22"/>
                <w:szCs w:val="22"/>
              </w:rPr>
              <w:tab/>
              <w:t>M</w:t>
            </w:r>
            <w:r w:rsidRPr="006B466B">
              <w:rPr>
                <w:rFonts w:asciiTheme="minorHAnsi" w:hAnsiTheme="minorHAnsi" w:cstheme="minorHAnsi"/>
                <w:bCs/>
                <w:sz w:val="22"/>
                <w:szCs w:val="22"/>
              </w:rPr>
              <w:t xml:space="preserve">akes available to the general public program effectiveness data (credentialing examination pass </w:t>
            </w:r>
            <w:r w:rsidRPr="006B466B">
              <w:rPr>
                <w:rFonts w:asciiTheme="minorHAnsi" w:hAnsiTheme="minorHAnsi" w:cstheme="minorHAnsi"/>
                <w:bCs/>
                <w:sz w:val="22"/>
                <w:szCs w:val="22"/>
              </w:rPr>
              <w:tab/>
              <w:t>rate, job placement rate, and program completion rate) on an annual basis.</w:t>
            </w:r>
          </w:p>
          <w:p w14:paraId="1787A5A0" w14:textId="77777777" w:rsidR="006B466B" w:rsidRPr="006B466B" w:rsidRDefault="006B466B" w:rsidP="006B466B">
            <w:pPr>
              <w:rPr>
                <w:rFonts w:asciiTheme="minorHAnsi" w:hAnsiTheme="minorHAnsi" w:cstheme="minorHAnsi"/>
                <w:bCs/>
                <w:sz w:val="22"/>
                <w:szCs w:val="22"/>
              </w:rPr>
            </w:pPr>
          </w:p>
          <w:p w14:paraId="49E997DB"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Analysis and Actions</w:t>
            </w:r>
          </w:p>
          <w:p w14:paraId="21739742" w14:textId="77777777" w:rsidR="006B466B" w:rsidRPr="006B466B" w:rsidRDefault="006B466B" w:rsidP="006B466B">
            <w:pPr>
              <w:rPr>
                <w:rFonts w:asciiTheme="minorHAnsi" w:hAnsiTheme="minorHAnsi" w:cstheme="minorHAnsi"/>
                <w:b/>
                <w:sz w:val="22"/>
                <w:szCs w:val="22"/>
              </w:rPr>
            </w:pPr>
          </w:p>
          <w:p w14:paraId="6A7E8BA0"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sz w:val="22"/>
                <w:szCs w:val="22"/>
              </w:rPr>
              <w:t xml:space="preserve">5.4       Analyzes and shares student learning outcome data and program effectiveness data to foster  </w:t>
            </w:r>
            <w:r w:rsidRPr="006B466B">
              <w:rPr>
                <w:rFonts w:asciiTheme="minorHAnsi" w:hAnsiTheme="minorHAnsi" w:cstheme="minorHAnsi"/>
                <w:sz w:val="22"/>
                <w:szCs w:val="22"/>
              </w:rPr>
              <w:tab/>
              <w:t xml:space="preserve">continuous program improvement.  </w:t>
            </w:r>
          </w:p>
          <w:p w14:paraId="13BF725D" w14:textId="77777777" w:rsidR="006B466B" w:rsidRPr="006B466B" w:rsidRDefault="006B466B" w:rsidP="006B466B">
            <w:pPr>
              <w:rPr>
                <w:rFonts w:asciiTheme="minorHAnsi" w:hAnsiTheme="minorHAnsi" w:cstheme="minorHAnsi"/>
                <w:sz w:val="22"/>
                <w:szCs w:val="22"/>
              </w:rPr>
            </w:pPr>
          </w:p>
          <w:p w14:paraId="32930937"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5.5</w:t>
            </w:r>
            <w:r w:rsidRPr="006B466B">
              <w:rPr>
                <w:rFonts w:asciiTheme="minorHAnsi" w:hAnsiTheme="minorHAnsi" w:cstheme="minorHAnsi"/>
                <w:sz w:val="22"/>
                <w:szCs w:val="22"/>
              </w:rPr>
              <w:tab/>
              <w:t>Periodically evaluates its assessment plan to assure continuous program improvement.</w:t>
            </w:r>
          </w:p>
          <w:p w14:paraId="3E374E2D" w14:textId="6F346666" w:rsidR="006B466B" w:rsidRDefault="006B466B" w:rsidP="006B466B">
            <w:pPr>
              <w:rPr>
                <w:rFonts w:asciiTheme="minorHAnsi" w:hAnsiTheme="minorHAnsi" w:cstheme="minorHAnsi"/>
                <w:sz w:val="22"/>
                <w:szCs w:val="22"/>
              </w:rPr>
            </w:pPr>
          </w:p>
        </w:tc>
        <w:tc>
          <w:tcPr>
            <w:tcW w:w="1998" w:type="dxa"/>
          </w:tcPr>
          <w:p w14:paraId="068A8366" w14:textId="2BB7CBD1" w:rsidR="006B466B" w:rsidRDefault="006B466B" w:rsidP="00276F4B">
            <w:pPr>
              <w:rPr>
                <w:rFonts w:asciiTheme="minorHAnsi" w:hAnsiTheme="minorHAnsi" w:cstheme="minorHAnsi"/>
                <w:sz w:val="22"/>
                <w:szCs w:val="22"/>
              </w:rPr>
            </w:pPr>
            <w:r>
              <w:rPr>
                <w:rFonts w:asciiTheme="minorHAnsi" w:hAnsiTheme="minorHAnsi" w:cstheme="minorHAnsi"/>
                <w:sz w:val="22"/>
                <w:szCs w:val="22"/>
              </w:rPr>
              <w:lastRenderedPageBreak/>
              <w:t>Page 57 of Standards_2014-Radiography document</w:t>
            </w:r>
          </w:p>
        </w:tc>
      </w:tr>
      <w:tr w:rsidR="006B466B" w14:paraId="4E0BEDD1" w14:textId="0ADF8EBD" w:rsidTr="0050568A">
        <w:tc>
          <w:tcPr>
            <w:tcW w:w="4588" w:type="dxa"/>
          </w:tcPr>
          <w:p w14:paraId="36D91ABC" w14:textId="7DA02C05" w:rsidR="006B466B" w:rsidRDefault="006B466B" w:rsidP="00276F4B">
            <w:pPr>
              <w:rPr>
                <w:rFonts w:asciiTheme="minorHAnsi" w:hAnsiTheme="minorHAnsi" w:cstheme="minorHAnsi"/>
                <w:sz w:val="22"/>
                <w:szCs w:val="22"/>
              </w:rPr>
            </w:pPr>
            <w:r w:rsidRPr="000B04CB">
              <w:rPr>
                <w:rFonts w:asciiTheme="minorHAnsi" w:hAnsiTheme="minorHAnsi" w:cstheme="minorHAnsi"/>
                <w:sz w:val="22"/>
                <w:szCs w:val="22"/>
              </w:rPr>
              <w:lastRenderedPageBreak/>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14:paraId="75159554"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5.5</w:t>
            </w:r>
            <w:r w:rsidRPr="006B466B">
              <w:rPr>
                <w:rFonts w:asciiTheme="minorHAnsi" w:hAnsiTheme="minorHAnsi" w:cstheme="minorHAnsi"/>
                <w:b/>
                <w:sz w:val="22"/>
                <w:szCs w:val="22"/>
              </w:rPr>
              <w:tab/>
              <w:t>Periodically evaluates its assessment plan to assure continuous program improvement.</w:t>
            </w:r>
          </w:p>
          <w:p w14:paraId="580EB2EC" w14:textId="77777777" w:rsidR="006B466B" w:rsidRPr="006B466B" w:rsidRDefault="006B466B" w:rsidP="006B466B">
            <w:pPr>
              <w:rPr>
                <w:rFonts w:asciiTheme="minorHAnsi" w:hAnsiTheme="minorHAnsi" w:cstheme="minorHAnsi"/>
                <w:b/>
                <w:bCs/>
                <w:i/>
                <w:iCs/>
                <w:sz w:val="22"/>
                <w:szCs w:val="22"/>
              </w:rPr>
            </w:pPr>
          </w:p>
          <w:p w14:paraId="46F2E7DE"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b/>
                <w:bCs/>
                <w:i/>
                <w:iCs/>
                <w:sz w:val="22"/>
                <w:szCs w:val="22"/>
              </w:rPr>
              <w:t>Explanation:</w:t>
            </w:r>
          </w:p>
          <w:p w14:paraId="6FB60B35"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 xml:space="preserve">Identifying and implementing needed improvements in the assessment plan leads to programmatic improvement and renewal.  As part of the assessment cycle, the program should review its assessment plan to assure that assessment measures are adequate and that the </w:t>
            </w:r>
            <w:r w:rsidRPr="006B466B">
              <w:rPr>
                <w:rFonts w:asciiTheme="minorHAnsi" w:hAnsiTheme="minorHAnsi" w:cstheme="minorHAnsi"/>
                <w:sz w:val="22"/>
                <w:szCs w:val="22"/>
              </w:rPr>
              <w:lastRenderedPageBreak/>
              <w:t xml:space="preserve">assessment process is effective in measuring </w:t>
            </w:r>
            <w:proofErr w:type="gramStart"/>
            <w:r w:rsidRPr="006B466B">
              <w:rPr>
                <w:rFonts w:asciiTheme="minorHAnsi" w:hAnsiTheme="minorHAnsi" w:cstheme="minorHAnsi"/>
                <w:sz w:val="22"/>
                <w:szCs w:val="22"/>
              </w:rPr>
              <w:t>student learning</w:t>
            </w:r>
            <w:proofErr w:type="gramEnd"/>
            <w:r w:rsidRPr="006B466B">
              <w:rPr>
                <w:rFonts w:asciiTheme="minorHAnsi" w:hAnsiTheme="minorHAnsi" w:cstheme="minorHAnsi"/>
                <w:sz w:val="22"/>
                <w:szCs w:val="22"/>
              </w:rPr>
              <w:t xml:space="preserve"> outcomes. At a minimum, this evaluation must occur at least every two years and be documented in meeting minutes.  </w:t>
            </w:r>
          </w:p>
          <w:p w14:paraId="41E374FD" w14:textId="77777777" w:rsidR="006B466B" w:rsidRDefault="006B466B" w:rsidP="00276F4B">
            <w:pPr>
              <w:rPr>
                <w:rFonts w:asciiTheme="minorHAnsi" w:hAnsiTheme="minorHAnsi" w:cstheme="minorHAnsi"/>
                <w:sz w:val="22"/>
                <w:szCs w:val="22"/>
              </w:rPr>
            </w:pPr>
          </w:p>
        </w:tc>
        <w:tc>
          <w:tcPr>
            <w:tcW w:w="1998" w:type="dxa"/>
          </w:tcPr>
          <w:p w14:paraId="3D73A25B" w14:textId="3CF449B7" w:rsidR="006B466B" w:rsidRDefault="006B466B" w:rsidP="006B466B">
            <w:pPr>
              <w:rPr>
                <w:rFonts w:asciiTheme="minorHAnsi" w:hAnsiTheme="minorHAnsi" w:cstheme="minorHAnsi"/>
                <w:sz w:val="22"/>
                <w:szCs w:val="22"/>
              </w:rPr>
            </w:pPr>
            <w:r>
              <w:rPr>
                <w:rFonts w:asciiTheme="minorHAnsi" w:hAnsiTheme="minorHAnsi" w:cstheme="minorHAnsi"/>
                <w:sz w:val="22"/>
                <w:szCs w:val="22"/>
              </w:rPr>
              <w:lastRenderedPageBreak/>
              <w:t>Page 62 of Standards_2014-Radiography document</w:t>
            </w:r>
          </w:p>
        </w:tc>
      </w:tr>
      <w:tr w:rsidR="006B466B" w14:paraId="37DC22C6" w14:textId="182851A8" w:rsidTr="0050568A">
        <w:tc>
          <w:tcPr>
            <w:tcW w:w="4588" w:type="dxa"/>
          </w:tcPr>
          <w:p w14:paraId="36A2320B" w14:textId="77777777" w:rsidR="006B466B" w:rsidRPr="003B7718" w:rsidRDefault="006B466B" w:rsidP="003B7718">
            <w:pPr>
              <w:rPr>
                <w:rFonts w:asciiTheme="minorHAnsi" w:hAnsiTheme="minorHAnsi" w:cstheme="minorHAnsi"/>
                <w:sz w:val="22"/>
                <w:szCs w:val="22"/>
              </w:rPr>
            </w:pPr>
            <w:r w:rsidRPr="003B7718">
              <w:rPr>
                <w:rFonts w:asciiTheme="minorHAnsi" w:hAnsiTheme="minorHAnsi" w:cs="Arial"/>
                <w:color w:val="222222"/>
                <w:sz w:val="22"/>
                <w:szCs w:val="22"/>
              </w:rPr>
              <w:lastRenderedPageBreak/>
              <w:t>The program’s processes and methodologies to assess student learning reflect good practice, including the substantial participation of faculty and other instructional staff members.</w:t>
            </w:r>
          </w:p>
          <w:p w14:paraId="3AAF57F2" w14:textId="77777777" w:rsidR="006B466B" w:rsidRDefault="006B466B" w:rsidP="00276F4B">
            <w:pPr>
              <w:rPr>
                <w:rFonts w:asciiTheme="minorHAnsi" w:hAnsiTheme="minorHAnsi" w:cstheme="minorHAnsi"/>
                <w:sz w:val="22"/>
                <w:szCs w:val="22"/>
              </w:rPr>
            </w:pPr>
          </w:p>
        </w:tc>
        <w:tc>
          <w:tcPr>
            <w:tcW w:w="6590" w:type="dxa"/>
          </w:tcPr>
          <w:p w14:paraId="1A7A77BA" w14:textId="77777777" w:rsidR="006B466B" w:rsidRPr="006B466B" w:rsidRDefault="006B466B" w:rsidP="006B466B">
            <w:pPr>
              <w:rPr>
                <w:rFonts w:asciiTheme="minorHAnsi" w:hAnsiTheme="minorHAnsi" w:cstheme="minorHAnsi"/>
                <w:b/>
                <w:sz w:val="22"/>
                <w:szCs w:val="22"/>
              </w:rPr>
            </w:pPr>
            <w:r w:rsidRPr="006B466B">
              <w:rPr>
                <w:rFonts w:asciiTheme="minorHAnsi" w:hAnsiTheme="minorHAnsi" w:cstheme="minorHAnsi"/>
                <w:b/>
                <w:sz w:val="22"/>
                <w:szCs w:val="22"/>
              </w:rPr>
              <w:t>5.4</w:t>
            </w:r>
            <w:r w:rsidRPr="006B466B">
              <w:rPr>
                <w:rFonts w:asciiTheme="minorHAnsi" w:hAnsiTheme="minorHAnsi" w:cstheme="minorHAnsi"/>
                <w:b/>
                <w:sz w:val="22"/>
                <w:szCs w:val="22"/>
              </w:rPr>
              <w:tab/>
              <w:t xml:space="preserve">Analyzes and shares student learning outcome data and program effectiveness data to foster continuous program improvement.  </w:t>
            </w:r>
          </w:p>
          <w:p w14:paraId="674FE3EC" w14:textId="77777777" w:rsidR="006B466B" w:rsidRPr="006B466B" w:rsidRDefault="006B466B" w:rsidP="006B466B">
            <w:pPr>
              <w:rPr>
                <w:rFonts w:asciiTheme="minorHAnsi" w:hAnsiTheme="minorHAnsi" w:cstheme="minorHAnsi"/>
                <w:sz w:val="22"/>
                <w:szCs w:val="22"/>
              </w:rPr>
            </w:pPr>
          </w:p>
          <w:p w14:paraId="7EE7CE44"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b/>
                <w:bCs/>
                <w:i/>
                <w:iCs/>
                <w:sz w:val="22"/>
                <w:szCs w:val="22"/>
              </w:rPr>
              <w:t>Explanation:</w:t>
            </w:r>
          </w:p>
          <w:p w14:paraId="1DE0F85F" w14:textId="77777777"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Analysis of student learning outcome data and program effectiveness data allows the program to identify strengths and areas for improvement to bring about systematic program improvement.  This analysis also provides a means of accountability to communities of interest.  It is the program’s prerogative to determine its communities of interest.</w:t>
            </w:r>
          </w:p>
          <w:p w14:paraId="5AA51D1E" w14:textId="77777777" w:rsidR="006B466B" w:rsidRPr="006B466B" w:rsidRDefault="006B466B" w:rsidP="006B466B">
            <w:pPr>
              <w:rPr>
                <w:rFonts w:asciiTheme="minorHAnsi" w:hAnsiTheme="minorHAnsi" w:cstheme="minorHAnsi"/>
                <w:sz w:val="22"/>
                <w:szCs w:val="22"/>
              </w:rPr>
            </w:pPr>
          </w:p>
          <w:p w14:paraId="38A140B0" w14:textId="2608CDFA" w:rsidR="006B466B" w:rsidRPr="006B466B" w:rsidRDefault="006B466B" w:rsidP="006B466B">
            <w:pPr>
              <w:rPr>
                <w:rFonts w:asciiTheme="minorHAnsi" w:hAnsiTheme="minorHAnsi" w:cstheme="minorHAnsi"/>
                <w:sz w:val="22"/>
                <w:szCs w:val="22"/>
              </w:rPr>
            </w:pPr>
            <w:r w:rsidRPr="006B466B">
              <w:rPr>
                <w:rFonts w:asciiTheme="minorHAnsi" w:hAnsiTheme="minorHAnsi" w:cstheme="minorHAnsi"/>
                <w:sz w:val="22"/>
                <w:szCs w:val="22"/>
              </w:rPr>
              <w:tab/>
              <w:t xml:space="preserve">The analysis must be reviewed with the program’s communities of interest.  One method to accomplish this would be the development of an assessment committee.  The composition of the assessment committee may be the program’s advisory committee or a separate committee that focuses on the assessment process.  The committee should be used to provide feedback on student achievement and assist the program with strategies for improving its effectiveness.  This review should occur at least annually and must be formally documented.  </w:t>
            </w:r>
          </w:p>
          <w:p w14:paraId="73CDC3C4" w14:textId="77777777" w:rsidR="006B466B" w:rsidRDefault="006B466B" w:rsidP="00276F4B">
            <w:pPr>
              <w:rPr>
                <w:rFonts w:asciiTheme="minorHAnsi" w:hAnsiTheme="minorHAnsi" w:cstheme="minorHAnsi"/>
                <w:sz w:val="22"/>
                <w:szCs w:val="22"/>
              </w:rPr>
            </w:pPr>
          </w:p>
        </w:tc>
        <w:tc>
          <w:tcPr>
            <w:tcW w:w="1998" w:type="dxa"/>
          </w:tcPr>
          <w:p w14:paraId="5DD15047" w14:textId="37076589" w:rsidR="006B466B" w:rsidRDefault="006B466B" w:rsidP="00276F4B">
            <w:pPr>
              <w:rPr>
                <w:rFonts w:asciiTheme="minorHAnsi" w:hAnsiTheme="minorHAnsi" w:cstheme="minorHAnsi"/>
                <w:sz w:val="22"/>
                <w:szCs w:val="22"/>
              </w:rPr>
            </w:pPr>
            <w:r>
              <w:rPr>
                <w:rFonts w:asciiTheme="minorHAnsi" w:hAnsiTheme="minorHAnsi" w:cstheme="minorHAnsi"/>
                <w:sz w:val="22"/>
                <w:szCs w:val="22"/>
              </w:rPr>
              <w:t>Page 61 of Standards_2014-Radiography document</w:t>
            </w:r>
          </w:p>
        </w:tc>
      </w:tr>
    </w:tbl>
    <w:p w14:paraId="48B290D2" w14:textId="77777777" w:rsidR="003B7718" w:rsidRPr="003B7718" w:rsidRDefault="003B7718" w:rsidP="00276F4B">
      <w:pPr>
        <w:rPr>
          <w:rFonts w:asciiTheme="minorHAnsi" w:hAnsiTheme="minorHAnsi" w:cstheme="minorHAnsi"/>
          <w:sz w:val="22"/>
          <w:szCs w:val="22"/>
        </w:rPr>
      </w:pPr>
    </w:p>
    <w:p w14:paraId="67506CFB" w14:textId="3AD2B25B" w:rsidR="003B7718" w:rsidRPr="00481949" w:rsidRDefault="00481949" w:rsidP="00276F4B">
      <w:pPr>
        <w:rPr>
          <w:rFonts w:asciiTheme="minorHAnsi" w:hAnsiTheme="minorHAnsi" w:cstheme="minorHAnsi"/>
          <w:b/>
          <w:color w:val="FF0000"/>
          <w:sz w:val="28"/>
          <w:szCs w:val="22"/>
        </w:rPr>
      </w:pPr>
      <w:r w:rsidRPr="00481949">
        <w:rPr>
          <w:rFonts w:asciiTheme="minorHAnsi" w:hAnsiTheme="minorHAnsi" w:cstheme="minorHAnsi"/>
          <w:b/>
          <w:color w:val="FF0000"/>
          <w:sz w:val="28"/>
          <w:szCs w:val="22"/>
        </w:rPr>
        <w:t xml:space="preserve">The next accreditation site visit will occur in the last quarter of 2016.  </w:t>
      </w:r>
    </w:p>
    <w:p w14:paraId="0AB0893E" w14:textId="77777777" w:rsidR="00481949" w:rsidRDefault="00481949"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bookmarkStart w:id="0" w:name="_GoBack"/>
      <w:bookmarkEnd w:id="0"/>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2"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A147" w14:textId="77777777" w:rsidR="00555815" w:rsidRDefault="00555815">
      <w:r>
        <w:separator/>
      </w:r>
    </w:p>
  </w:endnote>
  <w:endnote w:type="continuationSeparator" w:id="0">
    <w:p w14:paraId="3C0323BA" w14:textId="77777777" w:rsidR="00555815" w:rsidRDefault="0055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5549A" w14:textId="77777777" w:rsidR="00555815" w:rsidRDefault="00555815">
      <w:r>
        <w:separator/>
      </w:r>
    </w:p>
  </w:footnote>
  <w:footnote w:type="continuationSeparator" w:id="0">
    <w:p w14:paraId="40B1105F" w14:textId="77777777" w:rsidR="00555815" w:rsidRDefault="005558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600E4C"/>
    <w:multiLevelType w:val="hybridMultilevel"/>
    <w:tmpl w:val="5914DBDE"/>
    <w:lvl w:ilvl="0" w:tplc="0BEA88C6">
      <w:start w:val="1"/>
      <w:numFmt w:val="bullet"/>
      <w:lvlText w:val=""/>
      <w:lvlJc w:val="left"/>
      <w:pPr>
        <w:ind w:left="1483" w:hanging="360"/>
      </w:pPr>
      <w:rPr>
        <w:rFonts w:ascii="Symbol" w:hAnsi="Symbol" w:hint="default"/>
        <w:color w:val="auto"/>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6">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3"/>
  </w:num>
  <w:num w:numId="5">
    <w:abstractNumId w:val="10"/>
  </w:num>
  <w:num w:numId="6">
    <w:abstractNumId w:val="7"/>
  </w:num>
  <w:num w:numId="7">
    <w:abstractNumId w:val="11"/>
  </w:num>
  <w:num w:numId="8">
    <w:abstractNumId w:val="3"/>
  </w:num>
  <w:num w:numId="9">
    <w:abstractNumId w:val="12"/>
  </w:num>
  <w:num w:numId="10">
    <w:abstractNumId w:val="8"/>
  </w:num>
  <w:num w:numId="11">
    <w:abstractNumId w:val="6"/>
  </w:num>
  <w:num w:numId="12">
    <w:abstractNumId w:val="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7939"/>
    <w:rsid w:val="003061BD"/>
    <w:rsid w:val="00356160"/>
    <w:rsid w:val="00387128"/>
    <w:rsid w:val="00390441"/>
    <w:rsid w:val="003940B8"/>
    <w:rsid w:val="003B7718"/>
    <w:rsid w:val="003C7E3B"/>
    <w:rsid w:val="003D16B9"/>
    <w:rsid w:val="003F4EAC"/>
    <w:rsid w:val="00434E4D"/>
    <w:rsid w:val="00481949"/>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357B5"/>
    <w:rsid w:val="00667C9F"/>
    <w:rsid w:val="00672826"/>
    <w:rsid w:val="00672934"/>
    <w:rsid w:val="0069391C"/>
    <w:rsid w:val="006A7D18"/>
    <w:rsid w:val="006B3D13"/>
    <w:rsid w:val="006B466B"/>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47AD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55DE3"/>
    <w:rsid w:val="00C67341"/>
    <w:rsid w:val="00CB5EB7"/>
    <w:rsid w:val="00CC0E1E"/>
    <w:rsid w:val="00CF2A89"/>
    <w:rsid w:val="00D12E5A"/>
    <w:rsid w:val="00D15092"/>
    <w:rsid w:val="00D16DC5"/>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26821"/>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3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ernes@oakland.edu" TargetMode="External"/><Relationship Id="rId12" Type="http://schemas.openxmlformats.org/officeDocument/2006/relationships/hyperlink" Target="mailto:ternes@oakland.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akland.edu/upload/docs/OIRA/Assessment/Forms/UAC%20Assessment%20Report%20Format.docx" TargetMode="External"/><Relationship Id="rId10"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5BC5-1055-2041-B5BC-24709BDD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1475</Words>
  <Characters>8411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Kristin Landis-Piwowar</cp:lastModifiedBy>
  <cp:revision>6</cp:revision>
  <cp:lastPrinted>2013-10-30T12:38:00Z</cp:lastPrinted>
  <dcterms:created xsi:type="dcterms:W3CDTF">2016-06-21T20:58:00Z</dcterms:created>
  <dcterms:modified xsi:type="dcterms:W3CDTF">2016-06-22T20:30:00Z</dcterms:modified>
</cp:coreProperties>
</file>