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F4A26" w14:textId="77777777" w:rsidR="00EF7DA9" w:rsidRPr="00265383" w:rsidRDefault="00EF7DA9">
      <w:pPr>
        <w:jc w:val="center"/>
        <w:rPr>
          <w:rFonts w:asciiTheme="minorHAnsi" w:hAnsiTheme="minorHAnsi" w:cstheme="minorHAnsi"/>
          <w:b/>
          <w:i/>
          <w:iCs/>
          <w:sz w:val="32"/>
          <w:szCs w:val="22"/>
        </w:rPr>
      </w:pPr>
      <w:bookmarkStart w:id="0" w:name="_GoBack"/>
      <w:bookmarkEnd w:id="0"/>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9"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10"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1"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19822812"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9B7B6A">
        <w:rPr>
          <w:rFonts w:asciiTheme="minorHAnsi" w:hAnsiTheme="minorHAnsi" w:cstheme="minorHAnsi"/>
          <w:sz w:val="22"/>
          <w:szCs w:val="22"/>
        </w:rPr>
        <w:t xml:space="preserve"> Education Specialist (Ed. S.) in Educational Leadership</w:t>
      </w:r>
    </w:p>
    <w:p w14:paraId="3701B672" w14:textId="77777777" w:rsidR="00A06BCA" w:rsidRDefault="00A06BCA" w:rsidP="00265383">
      <w:pPr>
        <w:rPr>
          <w:rFonts w:asciiTheme="minorHAnsi" w:hAnsiTheme="minorHAnsi" w:cstheme="minorHAnsi"/>
          <w:sz w:val="22"/>
          <w:szCs w:val="22"/>
        </w:rPr>
      </w:pPr>
    </w:p>
    <w:p w14:paraId="57C10336" w14:textId="77777777"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7777777"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Pr>
              <w:rFonts w:ascii="MS Gothic" w:eastAsia="MS Gothic" w:hAnsi="MS Gothic" w:cstheme="minorHAnsi" w:hint="eastAsia"/>
              <w:sz w:val="22"/>
              <w:szCs w:val="22"/>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22EB931B"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FA58BE">
            <w:rPr>
              <w:rFonts w:ascii="MS Gothic" w:eastAsia="MS Gothic" w:hAnsi="MS Gothic" w:cstheme="minorHAnsi"/>
              <w:sz w:val="22"/>
              <w:szCs w:val="22"/>
            </w:rPr>
            <w:t>X</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15CA4DE5"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FA58BE">
        <w:rPr>
          <w:rFonts w:asciiTheme="minorHAnsi" w:hAnsiTheme="minorHAnsi" w:cstheme="minorHAnsi"/>
          <w:sz w:val="22"/>
          <w:szCs w:val="22"/>
        </w:rPr>
        <w:t xml:space="preserve"> Council for the </w:t>
      </w:r>
      <w:r w:rsidR="00CC76B6">
        <w:rPr>
          <w:rFonts w:asciiTheme="minorHAnsi" w:hAnsiTheme="minorHAnsi" w:cstheme="minorHAnsi"/>
          <w:sz w:val="22"/>
          <w:szCs w:val="22"/>
        </w:rPr>
        <w:t>Accreditation</w:t>
      </w:r>
      <w:r w:rsidR="00FA58BE">
        <w:rPr>
          <w:rFonts w:asciiTheme="minorHAnsi" w:hAnsiTheme="minorHAnsi" w:cstheme="minorHAnsi"/>
          <w:sz w:val="22"/>
          <w:szCs w:val="22"/>
        </w:rPr>
        <w:t xml:space="preserve"> of Educator Preparation (CAEP)</w:t>
      </w:r>
    </w:p>
    <w:p w14:paraId="68E6D466" w14:textId="77777777" w:rsidR="000B04CB" w:rsidRDefault="000B04CB" w:rsidP="009223A5">
      <w:pPr>
        <w:rPr>
          <w:rFonts w:asciiTheme="minorHAnsi" w:hAnsiTheme="minorHAnsi" w:cstheme="minorHAnsi"/>
          <w:sz w:val="22"/>
          <w:szCs w:val="22"/>
        </w:rPr>
      </w:pPr>
    </w:p>
    <w:p w14:paraId="5F28CF1E" w14:textId="71A003FB"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FA58BE">
        <w:rPr>
          <w:rFonts w:asciiTheme="minorHAnsi" w:hAnsiTheme="minorHAnsi" w:cstheme="minorHAnsi"/>
          <w:sz w:val="22"/>
          <w:szCs w:val="22"/>
        </w:rPr>
        <w:t xml:space="preserve"> January 12, 2017</w:t>
      </w:r>
    </w:p>
    <w:p w14:paraId="3B9E8944" w14:textId="77777777" w:rsidR="009223A5" w:rsidRPr="00265383" w:rsidRDefault="009223A5" w:rsidP="009223A5">
      <w:pPr>
        <w:rPr>
          <w:rFonts w:asciiTheme="minorHAnsi" w:hAnsiTheme="minorHAnsi" w:cstheme="minorHAnsi"/>
          <w:sz w:val="22"/>
          <w:szCs w:val="22"/>
        </w:rPr>
      </w:pPr>
    </w:p>
    <w:p w14:paraId="4C04C799" w14:textId="31A90871"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FA58BE">
        <w:rPr>
          <w:rFonts w:asciiTheme="minorHAnsi" w:hAnsiTheme="minorHAnsi" w:cstheme="minorHAnsi"/>
          <w:sz w:val="22"/>
          <w:szCs w:val="22"/>
        </w:rPr>
        <w:t>Christine Abbott</w:t>
      </w:r>
      <w:r w:rsidR="009223A5" w:rsidRPr="00265383">
        <w:rPr>
          <w:rFonts w:asciiTheme="minorHAnsi" w:hAnsiTheme="minorHAnsi" w:cstheme="minorHAnsi"/>
          <w:sz w:val="22"/>
          <w:szCs w:val="22"/>
        </w:rPr>
        <w:tab/>
      </w:r>
      <w:hyperlink r:id="rId12" w:history="1">
        <w:r w:rsidR="00FA58BE" w:rsidRPr="00147531">
          <w:rPr>
            <w:rStyle w:val="Hyperlink"/>
            <w:rFonts w:asciiTheme="minorHAnsi" w:hAnsiTheme="minorHAnsi" w:cstheme="minorHAnsi"/>
            <w:sz w:val="22"/>
            <w:szCs w:val="22"/>
          </w:rPr>
          <w:t>cabbott@oakland.edu</w:t>
        </w:r>
      </w:hyperlink>
      <w:r w:rsidR="00FA58BE">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6E6A26E0" w14:textId="41DD9A1B"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r w:rsidR="00FA58BE">
        <w:rPr>
          <w:rFonts w:asciiTheme="minorHAnsi" w:hAnsiTheme="minorHAnsi" w:cstheme="minorHAnsi"/>
          <w:sz w:val="22"/>
          <w:szCs w:val="22"/>
        </w:rPr>
        <w:t>Eileen Johnson</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hyperlink r:id="rId13" w:history="1">
        <w:r w:rsidR="00FA58BE" w:rsidRPr="00147531">
          <w:rPr>
            <w:rStyle w:val="Hyperlink"/>
            <w:rFonts w:asciiTheme="minorHAnsi" w:hAnsiTheme="minorHAnsi" w:cstheme="minorHAnsi"/>
            <w:sz w:val="22"/>
            <w:szCs w:val="22"/>
          </w:rPr>
          <w:t>johnso10@oakland.edu</w:t>
        </w:r>
      </w:hyperlink>
      <w:r w:rsidR="00FA58BE">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79624799" w14:textId="75E23992"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r w:rsidR="00FA58BE">
        <w:rPr>
          <w:rFonts w:asciiTheme="minorHAnsi" w:hAnsiTheme="minorHAnsi" w:cstheme="minorHAnsi"/>
          <w:sz w:val="22"/>
          <w:szCs w:val="22"/>
        </w:rPr>
        <w:tab/>
      </w:r>
      <w:r w:rsidR="00FA58BE">
        <w:rPr>
          <w:rFonts w:asciiTheme="minorHAnsi" w:hAnsiTheme="minorHAnsi" w:cstheme="minorHAnsi"/>
          <w:sz w:val="22"/>
          <w:szCs w:val="22"/>
        </w:rPr>
        <w:tab/>
      </w:r>
      <w:r w:rsidR="00FA58BE">
        <w:rPr>
          <w:rFonts w:asciiTheme="minorHAnsi" w:hAnsiTheme="minorHAnsi" w:cstheme="minorHAnsi"/>
          <w:sz w:val="22"/>
          <w:szCs w:val="22"/>
        </w:rPr>
        <w:tab/>
        <w:t xml:space="preserve">Jon </w:t>
      </w:r>
      <w:proofErr w:type="spellStart"/>
      <w:r w:rsidR="00FA58BE">
        <w:rPr>
          <w:rFonts w:asciiTheme="minorHAnsi" w:hAnsiTheme="minorHAnsi" w:cstheme="minorHAnsi"/>
          <w:sz w:val="22"/>
          <w:szCs w:val="22"/>
        </w:rPr>
        <w:t>Margerum</w:t>
      </w:r>
      <w:proofErr w:type="spellEnd"/>
      <w:r w:rsidR="00FA58BE">
        <w:rPr>
          <w:rFonts w:asciiTheme="minorHAnsi" w:hAnsiTheme="minorHAnsi" w:cstheme="minorHAnsi"/>
          <w:sz w:val="22"/>
          <w:szCs w:val="22"/>
        </w:rPr>
        <w:t>-Leys</w:t>
      </w:r>
      <w:r w:rsidR="00FA58BE">
        <w:rPr>
          <w:rFonts w:asciiTheme="minorHAnsi" w:hAnsiTheme="minorHAnsi" w:cstheme="minorHAnsi"/>
          <w:sz w:val="22"/>
          <w:szCs w:val="22"/>
        </w:rPr>
        <w:tab/>
        <w:t>jmargerumleys@oakland.edu</w:t>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ayout w:type="fixed"/>
        <w:tblLook w:val="04A0" w:firstRow="1" w:lastRow="0" w:firstColumn="1" w:lastColumn="0" w:noHBand="0" w:noVBand="1"/>
      </w:tblPr>
      <w:tblGrid>
        <w:gridCol w:w="3258"/>
        <w:gridCol w:w="7110"/>
        <w:gridCol w:w="2592"/>
      </w:tblGrid>
      <w:tr w:rsidR="0050568A" w14:paraId="0FAFA9BD" w14:textId="3008F9AD" w:rsidTr="00CC76B6">
        <w:tc>
          <w:tcPr>
            <w:tcW w:w="325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711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2592"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CC76B6">
        <w:tc>
          <w:tcPr>
            <w:tcW w:w="3258" w:type="dxa"/>
            <w:tcBorders>
              <w:top w:val="single" w:sz="4" w:space="0" w:color="auto"/>
            </w:tcBorders>
          </w:tcPr>
          <w:p w14:paraId="610F80A3" w14:textId="66D45DB3"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7110" w:type="dxa"/>
            <w:tcBorders>
              <w:top w:val="single" w:sz="4" w:space="0" w:color="auto"/>
            </w:tcBorders>
          </w:tcPr>
          <w:p w14:paraId="609969C0" w14:textId="7A1C3660" w:rsidR="005D4651" w:rsidRPr="00CC76B6" w:rsidRDefault="005D4651" w:rsidP="00CC76B6">
            <w:pPr>
              <w:spacing w:before="100" w:beforeAutospacing="1" w:after="100" w:afterAutospacing="1"/>
              <w:rPr>
                <w:sz w:val="22"/>
                <w:szCs w:val="22"/>
              </w:rPr>
            </w:pPr>
            <w:r w:rsidRPr="00CC76B6">
              <w:rPr>
                <w:sz w:val="22"/>
                <w:szCs w:val="22"/>
              </w:rPr>
              <w:t xml:space="preserve">The CAEP Standards for Advanced Programs </w:t>
            </w:r>
            <w:r>
              <w:rPr>
                <w:sz w:val="22"/>
                <w:szCs w:val="22"/>
              </w:rPr>
              <w:t xml:space="preserve">(graduate programs that lead to advanced rather than initial educator certification) </w:t>
            </w:r>
            <w:r w:rsidRPr="00CC76B6">
              <w:rPr>
                <w:sz w:val="22"/>
                <w:szCs w:val="22"/>
              </w:rPr>
              <w:t>and their components flow from two principles:</w:t>
            </w:r>
          </w:p>
          <w:p w14:paraId="1E2B6C76" w14:textId="77777777" w:rsidR="00DF035D" w:rsidRPr="00CC76B6" w:rsidRDefault="00DF035D" w:rsidP="00DF035D">
            <w:pPr>
              <w:numPr>
                <w:ilvl w:val="0"/>
                <w:numId w:val="14"/>
              </w:numPr>
              <w:spacing w:before="100" w:beforeAutospacing="1" w:after="100" w:afterAutospacing="1"/>
              <w:rPr>
                <w:sz w:val="22"/>
                <w:szCs w:val="22"/>
              </w:rPr>
            </w:pPr>
            <w:r w:rsidRPr="00CC76B6">
              <w:rPr>
                <w:rFonts w:ascii="inherit" w:hAnsi="inherit"/>
                <w:sz w:val="22"/>
                <w:szCs w:val="22"/>
              </w:rPr>
              <w:t>Solid evidence that the provider</w:t>
            </w:r>
            <w:r w:rsidRPr="00CC76B6">
              <w:rPr>
                <w:rFonts w:ascii="inherit" w:hAnsi="inherit" w:hint="eastAsia"/>
                <w:sz w:val="22"/>
                <w:szCs w:val="22"/>
              </w:rPr>
              <w:t>’</w:t>
            </w:r>
            <w:r w:rsidRPr="00CC76B6">
              <w:rPr>
                <w:rFonts w:ascii="inherit" w:hAnsi="inherit"/>
                <w:sz w:val="22"/>
                <w:szCs w:val="22"/>
              </w:rPr>
              <w:t>s graduates are competent and caring educators.</w:t>
            </w:r>
          </w:p>
          <w:p w14:paraId="2AC6EA46" w14:textId="40052015" w:rsidR="0050568A" w:rsidRDefault="00DF035D" w:rsidP="00FA58BE">
            <w:pPr>
              <w:numPr>
                <w:ilvl w:val="0"/>
                <w:numId w:val="14"/>
              </w:numPr>
              <w:spacing w:before="100" w:beforeAutospacing="1" w:after="100" w:afterAutospacing="1"/>
              <w:rPr>
                <w:rFonts w:asciiTheme="minorHAnsi" w:hAnsiTheme="minorHAnsi" w:cstheme="minorHAnsi"/>
                <w:sz w:val="22"/>
                <w:szCs w:val="22"/>
              </w:rPr>
            </w:pPr>
            <w:r w:rsidRPr="00CC76B6">
              <w:rPr>
                <w:rFonts w:ascii="inherit" w:hAnsi="inherit"/>
                <w:sz w:val="22"/>
                <w:szCs w:val="22"/>
              </w:rPr>
              <w:t>There must be solid evidence that the provider has the capacity to create a culture of evidence and use it to maintain and enhance the quality of the professional programs they offer.</w:t>
            </w:r>
          </w:p>
        </w:tc>
        <w:tc>
          <w:tcPr>
            <w:tcW w:w="2592" w:type="dxa"/>
            <w:tcBorders>
              <w:top w:val="single" w:sz="4" w:space="0" w:color="auto"/>
            </w:tcBorders>
          </w:tcPr>
          <w:p w14:paraId="68CFCE8A" w14:textId="3433F9B4" w:rsidR="0050568A" w:rsidRDefault="00662F60" w:rsidP="00276F4B">
            <w:pPr>
              <w:rPr>
                <w:rFonts w:asciiTheme="minorHAnsi" w:hAnsiTheme="minorHAnsi" w:cstheme="minorHAnsi"/>
                <w:sz w:val="22"/>
                <w:szCs w:val="22"/>
              </w:rPr>
            </w:pPr>
            <w:hyperlink r:id="rId14" w:history="1">
              <w:r w:rsidR="00041735" w:rsidRPr="00335B79">
                <w:rPr>
                  <w:rStyle w:val="Hyperlink"/>
                  <w:rFonts w:asciiTheme="minorHAnsi" w:hAnsiTheme="minorHAnsi" w:cstheme="minorHAnsi"/>
                  <w:sz w:val="22"/>
                  <w:szCs w:val="22"/>
                </w:rPr>
                <w:t>http://caepnet.org/standards/standards-advanced-programs</w:t>
              </w:r>
            </w:hyperlink>
          </w:p>
          <w:p w14:paraId="44C5DC6E" w14:textId="4620865F" w:rsidR="00041735" w:rsidRDefault="00041735" w:rsidP="00276F4B">
            <w:pPr>
              <w:rPr>
                <w:rFonts w:asciiTheme="minorHAnsi" w:hAnsiTheme="minorHAnsi" w:cstheme="minorHAnsi"/>
                <w:sz w:val="22"/>
                <w:szCs w:val="22"/>
              </w:rPr>
            </w:pPr>
          </w:p>
        </w:tc>
      </w:tr>
      <w:tr w:rsidR="0050568A" w14:paraId="6ABEDAB4" w14:textId="75A643F8" w:rsidTr="00CC76B6">
        <w:tc>
          <w:tcPr>
            <w:tcW w:w="3258" w:type="dxa"/>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7110" w:type="dxa"/>
          </w:tcPr>
          <w:p w14:paraId="02C799D8" w14:textId="0D1B0C5B" w:rsidR="00FA58BE" w:rsidRPr="00CC76B6" w:rsidRDefault="00A91D78" w:rsidP="004C22D1">
            <w:pPr>
              <w:spacing w:before="100" w:beforeAutospacing="1" w:after="100" w:afterAutospacing="1"/>
              <w:rPr>
                <w:rStyle w:val="Strong"/>
                <w:b w:val="0"/>
                <w:bCs w:val="0"/>
                <w:sz w:val="22"/>
                <w:szCs w:val="22"/>
              </w:rPr>
            </w:pPr>
            <w:r>
              <w:rPr>
                <w:sz w:val="22"/>
                <w:szCs w:val="22"/>
              </w:rPr>
              <w:t>CAEP</w:t>
            </w:r>
            <w:r w:rsidRPr="00CC76B6">
              <w:rPr>
                <w:sz w:val="22"/>
                <w:szCs w:val="22"/>
              </w:rPr>
              <w:t xml:space="preserve"> </w:t>
            </w:r>
            <w:r w:rsidR="00FA58BE" w:rsidRPr="00CC76B6">
              <w:rPr>
                <w:sz w:val="22"/>
                <w:szCs w:val="22"/>
              </w:rPr>
              <w:t xml:space="preserve">standards </w:t>
            </w:r>
            <w:r>
              <w:rPr>
                <w:sz w:val="22"/>
                <w:szCs w:val="22"/>
              </w:rPr>
              <w:t xml:space="preserve">for advanced programs </w:t>
            </w:r>
            <w:r w:rsidR="00FA58BE" w:rsidRPr="00CC76B6">
              <w:rPr>
                <w:sz w:val="22"/>
                <w:szCs w:val="22"/>
              </w:rPr>
              <w:t>define quality in terms of organizational performance and serve as the basis for accreditation reviews and judgments. While the CAEP Standards for Advanced Preparation Programs parallel the CAEP Standards for Initial Programs, there are distinct differences in the evidence required.</w:t>
            </w:r>
          </w:p>
          <w:p w14:paraId="465F4646" w14:textId="77777777" w:rsidR="001178EB" w:rsidRPr="00CC76B6" w:rsidRDefault="001178EB" w:rsidP="001178EB">
            <w:pPr>
              <w:numPr>
                <w:ilvl w:val="0"/>
                <w:numId w:val="15"/>
              </w:numPr>
              <w:spacing w:before="100" w:beforeAutospacing="1" w:after="100" w:afterAutospacing="1"/>
              <w:rPr>
                <w:sz w:val="22"/>
                <w:szCs w:val="22"/>
              </w:rPr>
            </w:pPr>
            <w:r w:rsidRPr="00CC76B6">
              <w:rPr>
                <w:rStyle w:val="Strong"/>
                <w:rFonts w:ascii="inherit" w:hAnsi="inherit"/>
                <w:sz w:val="22"/>
                <w:szCs w:val="22"/>
              </w:rPr>
              <w:t>Standard 1</w:t>
            </w:r>
            <w:r w:rsidRPr="00CC76B6">
              <w:rPr>
                <w:rFonts w:ascii="inherit" w:hAnsi="inherit"/>
                <w:sz w:val="22"/>
                <w:szCs w:val="22"/>
              </w:rPr>
              <w:t xml:space="preserve"> focuses on candidate outcomes specific to advanced-level study.</w:t>
            </w:r>
          </w:p>
          <w:p w14:paraId="5017C7D1" w14:textId="77777777" w:rsidR="001178EB" w:rsidRPr="00CC76B6" w:rsidRDefault="001178EB" w:rsidP="001178EB">
            <w:pPr>
              <w:numPr>
                <w:ilvl w:val="0"/>
                <w:numId w:val="15"/>
              </w:numPr>
              <w:spacing w:before="100" w:beforeAutospacing="1" w:after="100" w:afterAutospacing="1"/>
              <w:rPr>
                <w:sz w:val="22"/>
                <w:szCs w:val="22"/>
              </w:rPr>
            </w:pPr>
            <w:r w:rsidRPr="00CC76B6">
              <w:rPr>
                <w:rStyle w:val="Strong"/>
                <w:rFonts w:ascii="inherit" w:hAnsi="inherit"/>
                <w:sz w:val="22"/>
                <w:szCs w:val="22"/>
              </w:rPr>
              <w:t>Standard 2</w:t>
            </w:r>
            <w:r w:rsidRPr="00CC76B6">
              <w:rPr>
                <w:rFonts w:ascii="inherit" w:hAnsi="inherit"/>
                <w:sz w:val="22"/>
                <w:szCs w:val="22"/>
              </w:rPr>
              <w:t xml:space="preserve"> allows for flexibility specific to clinical experiences that encompass the uniqueness and diversity found at the advanced level.</w:t>
            </w:r>
          </w:p>
          <w:p w14:paraId="3B597557" w14:textId="77777777" w:rsidR="001178EB" w:rsidRPr="00CC76B6" w:rsidRDefault="001178EB" w:rsidP="001178EB">
            <w:pPr>
              <w:numPr>
                <w:ilvl w:val="0"/>
                <w:numId w:val="15"/>
              </w:numPr>
              <w:spacing w:before="100" w:beforeAutospacing="1" w:after="100" w:afterAutospacing="1"/>
              <w:rPr>
                <w:sz w:val="22"/>
                <w:szCs w:val="22"/>
              </w:rPr>
            </w:pPr>
            <w:r w:rsidRPr="00CC76B6">
              <w:rPr>
                <w:rStyle w:val="Strong"/>
                <w:rFonts w:ascii="inherit" w:hAnsi="inherit"/>
                <w:sz w:val="22"/>
                <w:szCs w:val="22"/>
              </w:rPr>
              <w:t>Standard 3</w:t>
            </w:r>
            <w:r w:rsidRPr="00CC76B6">
              <w:rPr>
                <w:rFonts w:ascii="inherit" w:hAnsi="inherit"/>
                <w:sz w:val="22"/>
                <w:szCs w:val="22"/>
              </w:rPr>
              <w:t xml:space="preserve"> emphasizes the admission of qualified candidates who have demonstrated the proficiency for advanced-level study.</w:t>
            </w:r>
          </w:p>
          <w:p w14:paraId="71F77154" w14:textId="77777777" w:rsidR="001178EB" w:rsidRPr="00CC76B6" w:rsidRDefault="001178EB" w:rsidP="001178EB">
            <w:pPr>
              <w:numPr>
                <w:ilvl w:val="0"/>
                <w:numId w:val="15"/>
              </w:numPr>
              <w:spacing w:before="100" w:beforeAutospacing="1" w:after="100" w:afterAutospacing="1"/>
              <w:rPr>
                <w:sz w:val="22"/>
                <w:szCs w:val="22"/>
              </w:rPr>
            </w:pPr>
            <w:r w:rsidRPr="00CC76B6">
              <w:rPr>
                <w:rStyle w:val="Strong"/>
                <w:rFonts w:ascii="inherit" w:hAnsi="inherit"/>
                <w:sz w:val="22"/>
                <w:szCs w:val="22"/>
              </w:rPr>
              <w:t>Standard 4</w:t>
            </w:r>
            <w:r w:rsidRPr="00CC76B6">
              <w:rPr>
                <w:rFonts w:ascii="inherit" w:hAnsi="inherit"/>
                <w:sz w:val="22"/>
                <w:szCs w:val="22"/>
              </w:rPr>
              <w:t xml:space="preserve"> focuses on completer and employer satisfaction.</w:t>
            </w:r>
          </w:p>
          <w:p w14:paraId="3CC3A4D8" w14:textId="77777777" w:rsidR="001178EB" w:rsidRPr="00CC76B6" w:rsidRDefault="001178EB" w:rsidP="001178EB">
            <w:pPr>
              <w:numPr>
                <w:ilvl w:val="0"/>
                <w:numId w:val="15"/>
              </w:numPr>
              <w:spacing w:before="100" w:beforeAutospacing="1" w:after="100" w:afterAutospacing="1"/>
              <w:rPr>
                <w:sz w:val="22"/>
                <w:szCs w:val="22"/>
              </w:rPr>
            </w:pPr>
            <w:r w:rsidRPr="00CC76B6">
              <w:rPr>
                <w:rStyle w:val="Strong"/>
                <w:rFonts w:ascii="inherit" w:hAnsi="inherit"/>
                <w:sz w:val="22"/>
                <w:szCs w:val="22"/>
              </w:rPr>
              <w:t>Standard 5</w:t>
            </w:r>
            <w:r w:rsidRPr="00CC76B6">
              <w:rPr>
                <w:rFonts w:ascii="inherit" w:hAnsi="inherit"/>
                <w:sz w:val="22"/>
                <w:szCs w:val="22"/>
              </w:rPr>
              <w:t xml:space="preserve"> requests evidence on a quality assurance system specific to continuous improvement.</w:t>
            </w:r>
          </w:p>
          <w:p w14:paraId="3E374E2D" w14:textId="77777777" w:rsidR="0050568A" w:rsidRDefault="0050568A" w:rsidP="00276F4B">
            <w:pPr>
              <w:rPr>
                <w:rFonts w:asciiTheme="minorHAnsi" w:hAnsiTheme="minorHAnsi" w:cstheme="minorHAnsi"/>
                <w:sz w:val="22"/>
                <w:szCs w:val="22"/>
              </w:rPr>
            </w:pPr>
          </w:p>
        </w:tc>
        <w:tc>
          <w:tcPr>
            <w:tcW w:w="2592" w:type="dxa"/>
          </w:tcPr>
          <w:p w14:paraId="1BA99C74" w14:textId="1F931C95" w:rsidR="0050568A" w:rsidRDefault="00662F60" w:rsidP="00276F4B">
            <w:pPr>
              <w:rPr>
                <w:rFonts w:asciiTheme="minorHAnsi" w:hAnsiTheme="minorHAnsi" w:cstheme="minorHAnsi"/>
                <w:sz w:val="22"/>
                <w:szCs w:val="22"/>
              </w:rPr>
            </w:pPr>
            <w:hyperlink r:id="rId15" w:history="1">
              <w:r w:rsidR="001178EB" w:rsidRPr="00335B79">
                <w:rPr>
                  <w:rStyle w:val="Hyperlink"/>
                  <w:rFonts w:asciiTheme="minorHAnsi" w:hAnsiTheme="minorHAnsi" w:cstheme="minorHAnsi"/>
                  <w:sz w:val="22"/>
                  <w:szCs w:val="22"/>
                </w:rPr>
                <w:t>http://caepnet.org/standards/standards-advanced-programs</w:t>
              </w:r>
            </w:hyperlink>
          </w:p>
          <w:p w14:paraId="068A8366" w14:textId="5C0735D9" w:rsidR="001178EB" w:rsidRDefault="001178EB" w:rsidP="00276F4B">
            <w:pPr>
              <w:rPr>
                <w:rFonts w:asciiTheme="minorHAnsi" w:hAnsiTheme="minorHAnsi" w:cstheme="minorHAnsi"/>
                <w:sz w:val="22"/>
                <w:szCs w:val="22"/>
              </w:rPr>
            </w:pPr>
          </w:p>
        </w:tc>
      </w:tr>
      <w:tr w:rsidR="0050568A" w14:paraId="4E0BEDD1" w14:textId="0ADF8EBD" w:rsidTr="00CC76B6">
        <w:tc>
          <w:tcPr>
            <w:tcW w:w="3258" w:type="dxa"/>
          </w:tcPr>
          <w:p w14:paraId="36D91ABC" w14:textId="7DA02C0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lastRenderedPageBreak/>
              <w:t xml:space="preserve">The program uses the information </w:t>
            </w:r>
            <w:r w:rsidRPr="000B04CB">
              <w:rPr>
                <w:rFonts w:asciiTheme="minorHAnsi" w:hAnsiTheme="minorHAnsi" w:cs="Arial"/>
                <w:color w:val="222222"/>
                <w:sz w:val="22"/>
                <w:szCs w:val="22"/>
              </w:rPr>
              <w:t>gained from assessment to improve student learning.</w:t>
            </w:r>
          </w:p>
        </w:tc>
        <w:tc>
          <w:tcPr>
            <w:tcW w:w="7110" w:type="dxa"/>
          </w:tcPr>
          <w:p w14:paraId="41E374FD" w14:textId="61B5C171" w:rsidR="0050568A" w:rsidRPr="004C22D1" w:rsidRDefault="004C22D1">
            <w:pPr>
              <w:rPr>
                <w:rFonts w:asciiTheme="minorHAnsi" w:hAnsiTheme="minorHAnsi" w:cstheme="minorHAnsi"/>
                <w:sz w:val="22"/>
                <w:szCs w:val="22"/>
              </w:rPr>
            </w:pPr>
            <w:r>
              <w:rPr>
                <w:sz w:val="22"/>
                <w:szCs w:val="22"/>
              </w:rPr>
              <w:t>CAEP a</w:t>
            </w:r>
            <w:r w:rsidR="008B2FDB" w:rsidRPr="00CC76B6">
              <w:rPr>
                <w:sz w:val="22"/>
                <w:szCs w:val="22"/>
              </w:rPr>
              <w:t>ccreditation provides a framework that has pushed educator preparation programs to continually self-assess and conduct evidence-based analysis of their programs and their efficacy. These evidence-based shifts, rooted in continuous improvement, are helping to ensure that preparation programs are more likely to produce successful educators.</w:t>
            </w:r>
          </w:p>
        </w:tc>
        <w:tc>
          <w:tcPr>
            <w:tcW w:w="2592" w:type="dxa"/>
          </w:tcPr>
          <w:p w14:paraId="69FBA5BB" w14:textId="42173E0E" w:rsidR="0050568A" w:rsidRDefault="00662F60" w:rsidP="00276F4B">
            <w:pPr>
              <w:rPr>
                <w:rFonts w:asciiTheme="minorHAnsi" w:hAnsiTheme="minorHAnsi" w:cstheme="minorHAnsi"/>
                <w:sz w:val="22"/>
                <w:szCs w:val="22"/>
              </w:rPr>
            </w:pPr>
            <w:hyperlink r:id="rId16" w:history="1">
              <w:r w:rsidR="002E53BB" w:rsidRPr="00335B79">
                <w:rPr>
                  <w:rStyle w:val="Hyperlink"/>
                  <w:rFonts w:asciiTheme="minorHAnsi" w:hAnsiTheme="minorHAnsi" w:cstheme="minorHAnsi"/>
                  <w:sz w:val="22"/>
                  <w:szCs w:val="22"/>
                </w:rPr>
                <w:t>http://caepnet.org/accreditation/about-accreditation/why-it-matters</w:t>
              </w:r>
            </w:hyperlink>
          </w:p>
          <w:p w14:paraId="3D73A25B" w14:textId="0D0EC1E6" w:rsidR="002E53BB" w:rsidRDefault="002E53BB" w:rsidP="00276F4B">
            <w:pPr>
              <w:rPr>
                <w:rFonts w:asciiTheme="minorHAnsi" w:hAnsiTheme="minorHAnsi" w:cstheme="minorHAnsi"/>
                <w:sz w:val="22"/>
                <w:szCs w:val="22"/>
              </w:rPr>
            </w:pPr>
          </w:p>
        </w:tc>
      </w:tr>
      <w:tr w:rsidR="0050568A" w14:paraId="37DC22C6" w14:textId="182851A8" w:rsidTr="00CC76B6">
        <w:tc>
          <w:tcPr>
            <w:tcW w:w="3258" w:type="dxa"/>
          </w:tcPr>
          <w:p w14:paraId="36A2320B" w14:textId="77777777"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7110" w:type="dxa"/>
          </w:tcPr>
          <w:p w14:paraId="0DCCFC18"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The Commission highlights six aspects of evidence that frame consideration of evidence in accreditation: </w:t>
            </w:r>
          </w:p>
          <w:p w14:paraId="0BEFCDB5"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1. Decisions are informed by multiple measures. </w:t>
            </w:r>
          </w:p>
          <w:p w14:paraId="09B359F2"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2. Preparation is judged by the impact that completers have on P-12 student learning and development. </w:t>
            </w:r>
          </w:p>
          <w:p w14:paraId="408E4D70"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3. Educator preparation providers are responsible for the validity, reliability and fairness of evidence they offer to demonstrate that CAEP standards are met. </w:t>
            </w:r>
          </w:p>
          <w:p w14:paraId="2E3DA831"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4. Educator preparation providers maintain quality assurance systems that support continuous monitoring of a wide range of conditions and outcomes of preparation, and they use data to reach toward and surpass challenging goals. </w:t>
            </w:r>
          </w:p>
          <w:p w14:paraId="0E6A25DD"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5. CAEP must take responsible implementation steps that acknowledge providers begin in different places. To be fully accredited, however, providers must be on a certain path to reach CAEP’s more rigorous standards and evidence expectations. </w:t>
            </w:r>
          </w:p>
          <w:p w14:paraId="193B3C65" w14:textId="77777777" w:rsidR="00853467" w:rsidRPr="00CC76B6" w:rsidRDefault="00853467" w:rsidP="00853467">
            <w:pPr>
              <w:pStyle w:val="Default"/>
              <w:rPr>
                <w:rFonts w:ascii="Times New Roman" w:hAnsi="Times New Roman" w:cs="Times New Roman"/>
                <w:sz w:val="22"/>
                <w:szCs w:val="22"/>
              </w:rPr>
            </w:pPr>
            <w:r w:rsidRPr="00CC76B6">
              <w:rPr>
                <w:rFonts w:ascii="Times New Roman" w:hAnsi="Times New Roman" w:cs="Times New Roman"/>
                <w:sz w:val="22"/>
                <w:szCs w:val="22"/>
              </w:rPr>
              <w:t xml:space="preserve">6. CAEP can, and must, play a prominent role to advance evidence-informed accreditation as one of its professional responsibilities. </w:t>
            </w:r>
          </w:p>
          <w:p w14:paraId="1088AF82" w14:textId="77777777" w:rsidR="0050568A" w:rsidRPr="00CC76B6" w:rsidRDefault="0050568A" w:rsidP="00276F4B">
            <w:pPr>
              <w:rPr>
                <w:sz w:val="22"/>
                <w:szCs w:val="22"/>
              </w:rPr>
            </w:pPr>
          </w:p>
          <w:p w14:paraId="73CDC3C4" w14:textId="600AC288" w:rsidR="00853467" w:rsidRDefault="00853467" w:rsidP="00276F4B">
            <w:pPr>
              <w:rPr>
                <w:rFonts w:asciiTheme="minorHAnsi" w:hAnsiTheme="minorHAnsi" w:cstheme="minorHAnsi"/>
                <w:sz w:val="22"/>
                <w:szCs w:val="22"/>
              </w:rPr>
            </w:pPr>
            <w:r w:rsidRPr="00CC76B6">
              <w:rPr>
                <w:sz w:val="22"/>
                <w:szCs w:val="22"/>
              </w:rPr>
              <w:t xml:space="preserve">In order to effectively achieve these six aspects of evidence, faculty and instructional staff, including field-based supervisors, must be actively involved in the process of evaluating student learning outcomes. </w:t>
            </w:r>
          </w:p>
        </w:tc>
        <w:tc>
          <w:tcPr>
            <w:tcW w:w="2592" w:type="dxa"/>
          </w:tcPr>
          <w:p w14:paraId="49CAD04A" w14:textId="4085D1F1" w:rsidR="0050568A" w:rsidRDefault="00662F60" w:rsidP="00276F4B">
            <w:pPr>
              <w:rPr>
                <w:rFonts w:asciiTheme="minorHAnsi" w:hAnsiTheme="minorHAnsi" w:cstheme="minorHAnsi"/>
                <w:sz w:val="22"/>
                <w:szCs w:val="22"/>
              </w:rPr>
            </w:pPr>
            <w:hyperlink r:id="rId17" w:history="1">
              <w:r w:rsidR="00EC707E" w:rsidRPr="00335B79">
                <w:rPr>
                  <w:rStyle w:val="Hyperlink"/>
                  <w:rFonts w:asciiTheme="minorHAnsi" w:hAnsiTheme="minorHAnsi" w:cstheme="minorHAnsi"/>
                  <w:sz w:val="22"/>
                  <w:szCs w:val="22"/>
                </w:rPr>
                <w:t>http://r.search.yahoo.com/_ylt=AwrBT9Bms3dY6vUAvCFXNyoA;_ylu=X3oDMTExMWc3cHQ4BGNvbG8DYmYxBHBvcwMyBHZ0aWQDREZENl8xBHNlYwNzcg--/RV=2/RE=1484268519/RO=10/RU=http%3a%2f%2fcaepnet.org%2f~%2fmedia%2fFiles%2fcaep%2fstandards%2fcaep-2013-accreditation-standards.pdf/RK=0/RS=o2YPbboSLvIGkEqzoWPsdHfT7tY-</w:t>
              </w:r>
            </w:hyperlink>
          </w:p>
          <w:p w14:paraId="5DD15047" w14:textId="7A8E8D2C" w:rsidR="00EC707E" w:rsidRDefault="00EC707E" w:rsidP="00276F4B">
            <w:pPr>
              <w:rPr>
                <w:rFonts w:asciiTheme="minorHAnsi" w:hAnsiTheme="minorHAnsi" w:cstheme="minorHAnsi"/>
                <w:sz w:val="22"/>
                <w:szCs w:val="22"/>
              </w:rPr>
            </w:pPr>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8"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7AF972BC" w14:textId="77777777" w:rsidR="008F6CDC" w:rsidRDefault="008F6CDC">
      <w:pPr>
        <w:rPr>
          <w:rFonts w:asciiTheme="minorHAnsi" w:hAnsiTheme="minorHAnsi" w:cstheme="minorHAnsi"/>
          <w:sz w:val="22"/>
          <w:szCs w:val="22"/>
        </w:rPr>
      </w:pPr>
    </w:p>
    <w:p w14:paraId="4EB38CFC" w14:textId="77777777" w:rsidR="00276F4B" w:rsidRPr="00265383" w:rsidRDefault="00276F4B" w:rsidP="00276F4B">
      <w:pPr>
        <w:pStyle w:val="BodyTextIndent"/>
        <w:ind w:left="0"/>
        <w:rPr>
          <w:rFonts w:asciiTheme="minorHAnsi" w:hAnsiTheme="minorHAnsi" w:cstheme="minorHAnsi"/>
          <w:sz w:val="22"/>
          <w:szCs w:val="22"/>
        </w:rPr>
      </w:pP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9"/>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5EC62" w14:textId="77777777" w:rsidR="004A71EE" w:rsidRDefault="004A71EE">
      <w:r>
        <w:separator/>
      </w:r>
    </w:p>
  </w:endnote>
  <w:endnote w:type="continuationSeparator" w:id="0">
    <w:p w14:paraId="79FACB75" w14:textId="77777777" w:rsidR="004A71EE" w:rsidRDefault="004A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F8557" w14:textId="77777777" w:rsidR="004A71EE" w:rsidRDefault="004A71EE">
      <w:r>
        <w:separator/>
      </w:r>
    </w:p>
  </w:footnote>
  <w:footnote w:type="continuationSeparator" w:id="0">
    <w:p w14:paraId="3959AC20" w14:textId="77777777" w:rsidR="004A71EE" w:rsidRDefault="004A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0875C34"/>
    <w:multiLevelType w:val="multilevel"/>
    <w:tmpl w:val="E32C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C76A13"/>
    <w:multiLevelType w:val="multilevel"/>
    <w:tmpl w:val="40D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4"/>
  </w:num>
  <w:num w:numId="5">
    <w:abstractNumId w:val="11"/>
  </w:num>
  <w:num w:numId="6">
    <w:abstractNumId w:val="8"/>
  </w:num>
  <w:num w:numId="7">
    <w:abstractNumId w:val="12"/>
  </w:num>
  <w:num w:numId="8">
    <w:abstractNumId w:val="3"/>
  </w:num>
  <w:num w:numId="9">
    <w:abstractNumId w:val="13"/>
  </w:num>
  <w:num w:numId="10">
    <w:abstractNumId w:val="9"/>
  </w:num>
  <w:num w:numId="11">
    <w:abstractNumId w:val="7"/>
  </w:num>
  <w:num w:numId="12">
    <w:abstractNumId w:val="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0E04"/>
    <w:rsid w:val="000211A9"/>
    <w:rsid w:val="00030093"/>
    <w:rsid w:val="000371C9"/>
    <w:rsid w:val="00041735"/>
    <w:rsid w:val="00045619"/>
    <w:rsid w:val="00070860"/>
    <w:rsid w:val="000A24BA"/>
    <w:rsid w:val="000A2776"/>
    <w:rsid w:val="000B04CB"/>
    <w:rsid w:val="000B2D84"/>
    <w:rsid w:val="000B33AC"/>
    <w:rsid w:val="000E3EFD"/>
    <w:rsid w:val="000F2656"/>
    <w:rsid w:val="00100091"/>
    <w:rsid w:val="00116ACA"/>
    <w:rsid w:val="00117581"/>
    <w:rsid w:val="001178EB"/>
    <w:rsid w:val="00135E1A"/>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7939"/>
    <w:rsid w:val="002E53BB"/>
    <w:rsid w:val="003061BD"/>
    <w:rsid w:val="00356160"/>
    <w:rsid w:val="00387128"/>
    <w:rsid w:val="00390441"/>
    <w:rsid w:val="003940B8"/>
    <w:rsid w:val="003B7718"/>
    <w:rsid w:val="003C7E3B"/>
    <w:rsid w:val="003D16B9"/>
    <w:rsid w:val="003F4EAC"/>
    <w:rsid w:val="004231C2"/>
    <w:rsid w:val="00434E4D"/>
    <w:rsid w:val="004A71EE"/>
    <w:rsid w:val="004B7B3F"/>
    <w:rsid w:val="004C22D1"/>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4651"/>
    <w:rsid w:val="005D555A"/>
    <w:rsid w:val="005E7C22"/>
    <w:rsid w:val="005F132D"/>
    <w:rsid w:val="006357B5"/>
    <w:rsid w:val="00662F60"/>
    <w:rsid w:val="00667C9F"/>
    <w:rsid w:val="00672826"/>
    <w:rsid w:val="00672934"/>
    <w:rsid w:val="0069391C"/>
    <w:rsid w:val="006A7D18"/>
    <w:rsid w:val="006B3D13"/>
    <w:rsid w:val="007535F6"/>
    <w:rsid w:val="00755A9E"/>
    <w:rsid w:val="007665A9"/>
    <w:rsid w:val="007819E4"/>
    <w:rsid w:val="007B43BD"/>
    <w:rsid w:val="007E3E54"/>
    <w:rsid w:val="00811E80"/>
    <w:rsid w:val="0083768E"/>
    <w:rsid w:val="00853467"/>
    <w:rsid w:val="008564A7"/>
    <w:rsid w:val="00870759"/>
    <w:rsid w:val="00871CA6"/>
    <w:rsid w:val="008B07A2"/>
    <w:rsid w:val="008B1ACE"/>
    <w:rsid w:val="008B2C83"/>
    <w:rsid w:val="008B2FDB"/>
    <w:rsid w:val="008B34F6"/>
    <w:rsid w:val="008E19C4"/>
    <w:rsid w:val="008F6CDC"/>
    <w:rsid w:val="009001F9"/>
    <w:rsid w:val="00913273"/>
    <w:rsid w:val="00915629"/>
    <w:rsid w:val="009223A5"/>
    <w:rsid w:val="009A7EF8"/>
    <w:rsid w:val="009B7B6A"/>
    <w:rsid w:val="009C621D"/>
    <w:rsid w:val="009E5604"/>
    <w:rsid w:val="00A06BCA"/>
    <w:rsid w:val="00A07AA3"/>
    <w:rsid w:val="00A20D24"/>
    <w:rsid w:val="00A2130A"/>
    <w:rsid w:val="00A21BDF"/>
    <w:rsid w:val="00A602CE"/>
    <w:rsid w:val="00A720A0"/>
    <w:rsid w:val="00A76540"/>
    <w:rsid w:val="00A84795"/>
    <w:rsid w:val="00A87D15"/>
    <w:rsid w:val="00A91D78"/>
    <w:rsid w:val="00AA0184"/>
    <w:rsid w:val="00AA1F0D"/>
    <w:rsid w:val="00AA4A8B"/>
    <w:rsid w:val="00AA4E02"/>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C76B6"/>
    <w:rsid w:val="00CF2A89"/>
    <w:rsid w:val="00D12E5A"/>
    <w:rsid w:val="00D15092"/>
    <w:rsid w:val="00D16DC5"/>
    <w:rsid w:val="00D56E04"/>
    <w:rsid w:val="00D91C4D"/>
    <w:rsid w:val="00DA61CE"/>
    <w:rsid w:val="00DB3CDD"/>
    <w:rsid w:val="00DC04DE"/>
    <w:rsid w:val="00DC10F4"/>
    <w:rsid w:val="00DD7C37"/>
    <w:rsid w:val="00DF035D"/>
    <w:rsid w:val="00E0391F"/>
    <w:rsid w:val="00E048C1"/>
    <w:rsid w:val="00E55580"/>
    <w:rsid w:val="00E64BAD"/>
    <w:rsid w:val="00EA104D"/>
    <w:rsid w:val="00EC2C85"/>
    <w:rsid w:val="00EC707E"/>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A58BE"/>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Strong">
    <w:name w:val="Strong"/>
    <w:basedOn w:val="DefaultParagraphFont"/>
    <w:uiPriority w:val="22"/>
    <w:qFormat/>
    <w:rsid w:val="001178EB"/>
    <w:rPr>
      <w:b/>
      <w:bCs/>
    </w:rPr>
  </w:style>
  <w:style w:type="paragraph" w:customStyle="1" w:styleId="Default">
    <w:name w:val="Default"/>
    <w:rsid w:val="00853467"/>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EC70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Strong">
    <w:name w:val="Strong"/>
    <w:basedOn w:val="DefaultParagraphFont"/>
    <w:uiPriority w:val="22"/>
    <w:qFormat/>
    <w:rsid w:val="001178EB"/>
    <w:rPr>
      <w:b/>
      <w:bCs/>
    </w:rPr>
  </w:style>
  <w:style w:type="paragraph" w:customStyle="1" w:styleId="Default">
    <w:name w:val="Default"/>
    <w:rsid w:val="00853467"/>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EC7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49771">
      <w:bodyDiv w:val="1"/>
      <w:marLeft w:val="0"/>
      <w:marRight w:val="0"/>
      <w:marTop w:val="0"/>
      <w:marBottom w:val="0"/>
      <w:divBdr>
        <w:top w:val="none" w:sz="0" w:space="0" w:color="auto"/>
        <w:left w:val="none" w:sz="0" w:space="0" w:color="auto"/>
        <w:bottom w:val="none" w:sz="0" w:space="0" w:color="auto"/>
        <w:right w:val="none" w:sz="0" w:space="0" w:color="auto"/>
      </w:divBdr>
    </w:div>
    <w:div w:id="3879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so10@oakland.edu" TargetMode="External"/><Relationship Id="rId18" Type="http://schemas.openxmlformats.org/officeDocument/2006/relationships/hyperlink" Target="mailto:ternes@oakland.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abbott@oakland.edu" TargetMode="External"/><Relationship Id="rId17" Type="http://schemas.openxmlformats.org/officeDocument/2006/relationships/hyperlink" Target="http://r.search.yahoo.com/_ylt=AwrBT9Bms3dY6vUAvCFXNyoA;_ylu=X3oDMTExMWc3cHQ4BGNvbG8DYmYxBHBvcwMyBHZ0aWQDREZENl8xBHNlYwNzcg--/RV=2/RE=1484268519/RO=10/RU=http%3a%2f%2fcaepnet.org%2f~%2fmedia%2fFiles%2fcaep%2fstandards%2fcaep-2013-accreditation-standards.pdf/RK=0/RS=o2YPbboSLvIGkEqzoWPsdHfT7tY-" TargetMode="External"/><Relationship Id="rId2" Type="http://schemas.openxmlformats.org/officeDocument/2006/relationships/numbering" Target="numbering.xml"/><Relationship Id="rId16" Type="http://schemas.openxmlformats.org/officeDocument/2006/relationships/hyperlink" Target="http://caepnet.org/accreditation/about-accreditation/why-it-mat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nes@oakland.edu" TargetMode="External"/><Relationship Id="rId5" Type="http://schemas.openxmlformats.org/officeDocument/2006/relationships/settings" Target="settings.xml"/><Relationship Id="rId15" Type="http://schemas.openxmlformats.org/officeDocument/2006/relationships/hyperlink" Target="http://caepnet.org/standards/standards-advanced-programs" TargetMode="External"/><Relationship Id="rId10" Type="http://schemas.openxmlformats.org/officeDocument/2006/relationships/hyperlink" Target="mailto:ternes@oakland.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akland.edu/upload/docs/OIRA/Assessment/Forms/UAC%20Assessment%20Report%20Format.docx" TargetMode="External"/><Relationship Id="rId14" Type="http://schemas.openxmlformats.org/officeDocument/2006/relationships/hyperlink" Target="http://caepnet.org/standards/standards-advanced-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A6E81-2BC9-4B42-89CB-F044E2BF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Rueben J. Ternes</cp:lastModifiedBy>
  <cp:revision>2</cp:revision>
  <cp:lastPrinted>2013-10-30T12:38:00Z</cp:lastPrinted>
  <dcterms:created xsi:type="dcterms:W3CDTF">2017-01-17T15:59:00Z</dcterms:created>
  <dcterms:modified xsi:type="dcterms:W3CDTF">2017-01-17T15:59:00Z</dcterms:modified>
</cp:coreProperties>
</file>