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83" w:rsidRDefault="002F5983">
      <w:pPr>
        <w:rPr>
          <w:rFonts w:ascii="Arial" w:hAnsi="Arial" w:cs="Arial"/>
          <w:sz w:val="16"/>
        </w:rPr>
      </w:pPr>
    </w:p>
    <w:p w:rsidR="002038CD" w:rsidRDefault="0080619F" w:rsidP="0016767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drawing>
          <wp:inline distT="0" distB="0" distL="0" distR="0">
            <wp:extent cx="1419225" cy="590550"/>
            <wp:effectExtent l="0" t="0" r="9525" b="0"/>
            <wp:docPr id="2" name="Picture 1" descr="OU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 Logo 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8CD" w:rsidRPr="00FC1FB5" w:rsidRDefault="002038CD">
      <w:pPr>
        <w:rPr>
          <w:rFonts w:asciiTheme="minorHAnsi" w:hAnsiTheme="minorHAnsi" w:cs="Arial"/>
          <w:sz w:val="20"/>
          <w:szCs w:val="20"/>
        </w:rPr>
      </w:pPr>
    </w:p>
    <w:p w:rsidR="00E418F2" w:rsidRPr="00FC1FB5" w:rsidRDefault="009B562E" w:rsidP="00FC1FB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45</w:t>
      </w:r>
      <w:bookmarkStart w:id="0" w:name="_GoBack"/>
      <w:bookmarkEnd w:id="0"/>
      <w:r w:rsidR="00FC1FB5" w:rsidRPr="00FC1FB5">
        <w:rPr>
          <w:rFonts w:asciiTheme="minorHAnsi" w:hAnsiTheme="minorHAnsi"/>
          <w:b/>
          <w:sz w:val="20"/>
          <w:szCs w:val="20"/>
        </w:rPr>
        <w:t xml:space="preserve"> day CARES ACT Report</w:t>
      </w:r>
      <w:r>
        <w:rPr>
          <w:rFonts w:asciiTheme="minorHAnsi" w:hAnsiTheme="minorHAnsi"/>
          <w:b/>
          <w:sz w:val="20"/>
          <w:szCs w:val="20"/>
        </w:rPr>
        <w:t xml:space="preserve"> – 2</w:t>
      </w:r>
      <w:r w:rsidRPr="009B562E">
        <w:rPr>
          <w:rFonts w:asciiTheme="minorHAnsi" w:hAnsiTheme="minorHAnsi"/>
          <w:b/>
          <w:sz w:val="20"/>
          <w:szCs w:val="20"/>
          <w:vertAlign w:val="superscript"/>
        </w:rPr>
        <w:t>nd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5823C6">
        <w:rPr>
          <w:rFonts w:asciiTheme="minorHAnsi" w:hAnsiTheme="minorHAnsi"/>
          <w:b/>
          <w:sz w:val="20"/>
          <w:szCs w:val="20"/>
        </w:rPr>
        <w:t>Report</w:t>
      </w:r>
    </w:p>
    <w:p w:rsidR="00FC1FB5" w:rsidRPr="00FC1FB5" w:rsidRDefault="00FC1FB5" w:rsidP="00FC1FB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Report Date: </w:t>
      </w:r>
      <w:r w:rsidR="009B562E">
        <w:rPr>
          <w:rFonts w:asciiTheme="minorHAnsi" w:hAnsiTheme="minorHAnsi"/>
          <w:sz w:val="20"/>
          <w:szCs w:val="20"/>
        </w:rPr>
        <w:t>July 6</w:t>
      </w:r>
      <w:r>
        <w:rPr>
          <w:rFonts w:asciiTheme="minorHAnsi" w:hAnsiTheme="minorHAnsi"/>
          <w:sz w:val="20"/>
          <w:szCs w:val="20"/>
        </w:rPr>
        <w:t>, 2020</w:t>
      </w:r>
    </w:p>
    <w:p w:rsidR="00FC1FB5" w:rsidRDefault="00FC1FB5" w:rsidP="00FC1FB5">
      <w:pPr>
        <w:rPr>
          <w:rFonts w:asciiTheme="minorHAnsi" w:hAnsiTheme="minorHAnsi"/>
          <w:sz w:val="20"/>
          <w:szCs w:val="20"/>
        </w:rPr>
      </w:pPr>
    </w:p>
    <w:p w:rsidR="00FC1FB5" w:rsidRPr="00FC1FB5" w:rsidRDefault="00FC1FB5" w:rsidP="00FC1FB5">
      <w:pPr>
        <w:rPr>
          <w:rFonts w:asciiTheme="minorHAnsi" w:hAnsiTheme="minorHAnsi"/>
          <w:sz w:val="20"/>
          <w:szCs w:val="20"/>
        </w:rPr>
      </w:pPr>
    </w:p>
    <w:p w:rsidR="00FC1FB5" w:rsidRDefault="00FC1FB5" w:rsidP="00FC1FB5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Acknowledgement: Oakland University </w:t>
      </w:r>
      <w:r w:rsidR="00386C0E">
        <w:rPr>
          <w:rFonts w:asciiTheme="minorHAnsi" w:hAnsiTheme="minorHAnsi"/>
          <w:sz w:val="20"/>
          <w:szCs w:val="20"/>
        </w:rPr>
        <w:t xml:space="preserve">acknowledges that it </w:t>
      </w:r>
      <w:r>
        <w:rPr>
          <w:rFonts w:asciiTheme="minorHAnsi" w:hAnsiTheme="minorHAnsi"/>
          <w:sz w:val="20"/>
          <w:szCs w:val="20"/>
        </w:rPr>
        <w:t xml:space="preserve">signed and returned to the Department of Education the Certification and Agreement on April 15, 2020 and assures it </w:t>
      </w:r>
      <w:r w:rsidR="00386C0E">
        <w:rPr>
          <w:rFonts w:asciiTheme="minorHAnsi" w:hAnsiTheme="minorHAnsi"/>
          <w:sz w:val="20"/>
          <w:szCs w:val="20"/>
        </w:rPr>
        <w:t>intends to use no less than 50 percent of the funds received under Section 18004(a)(1) of the CARES Act to provide Emergency Grants to students.</w:t>
      </w:r>
    </w:p>
    <w:p w:rsidR="00386C0E" w:rsidRDefault="00386C0E" w:rsidP="00386C0E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386C0E" w:rsidRDefault="005A6681" w:rsidP="00FC1FB5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Total amount of funds the Oakland University will or has received from the Department for Emergency Grants to Students:</w:t>
      </w:r>
      <w:r>
        <w:rPr>
          <w:rFonts w:asciiTheme="minorHAnsi" w:hAnsiTheme="minorHAnsi"/>
          <w:sz w:val="20"/>
          <w:szCs w:val="20"/>
        </w:rPr>
        <w:tab/>
      </w:r>
      <w:r w:rsidRPr="005A6681">
        <w:rPr>
          <w:rFonts w:asciiTheme="minorHAnsi" w:hAnsiTheme="minorHAnsi"/>
          <w:b/>
          <w:sz w:val="20"/>
          <w:szCs w:val="20"/>
        </w:rPr>
        <w:t>$6,898,412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5A6681" w:rsidRPr="005A6681" w:rsidRDefault="005A6681" w:rsidP="005A6681">
      <w:pPr>
        <w:pStyle w:val="ListParagraph"/>
        <w:rPr>
          <w:rFonts w:asciiTheme="minorHAnsi" w:hAnsiTheme="minorHAnsi"/>
          <w:sz w:val="20"/>
          <w:szCs w:val="20"/>
        </w:rPr>
      </w:pPr>
    </w:p>
    <w:p w:rsidR="00725947" w:rsidRPr="00725947" w:rsidRDefault="005A6681" w:rsidP="005A6681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Total amount of Emergency Grants distributed to students as of report date: </w:t>
      </w:r>
      <w:r w:rsidRPr="005A6681">
        <w:rPr>
          <w:rFonts w:asciiTheme="minorHAnsi" w:hAnsiTheme="minorHAnsi"/>
          <w:b/>
          <w:sz w:val="20"/>
          <w:szCs w:val="20"/>
        </w:rPr>
        <w:t>$</w:t>
      </w:r>
      <w:r>
        <w:rPr>
          <w:rFonts w:asciiTheme="minorHAnsi" w:hAnsiTheme="minorHAnsi"/>
          <w:b/>
          <w:sz w:val="20"/>
          <w:szCs w:val="20"/>
        </w:rPr>
        <w:t>5</w:t>
      </w:r>
      <w:r w:rsidRPr="005A6681">
        <w:rPr>
          <w:rFonts w:asciiTheme="minorHAnsi" w:hAnsiTheme="minorHAnsi"/>
          <w:b/>
          <w:sz w:val="20"/>
          <w:szCs w:val="20"/>
        </w:rPr>
        <w:t>,</w:t>
      </w:r>
      <w:r w:rsidR="009B562E">
        <w:rPr>
          <w:rFonts w:asciiTheme="minorHAnsi" w:hAnsiTheme="minorHAnsi"/>
          <w:b/>
          <w:sz w:val="20"/>
          <w:szCs w:val="20"/>
        </w:rPr>
        <w:t>875,763</w:t>
      </w:r>
    </w:p>
    <w:p w:rsidR="00725947" w:rsidRPr="00725947" w:rsidRDefault="00725947" w:rsidP="00725947">
      <w:pPr>
        <w:pStyle w:val="ListParagraph"/>
        <w:rPr>
          <w:rFonts w:asciiTheme="minorHAnsi" w:hAnsiTheme="minorHAnsi"/>
          <w:sz w:val="20"/>
          <w:szCs w:val="20"/>
        </w:rPr>
      </w:pPr>
    </w:p>
    <w:p w:rsidR="00725947" w:rsidRPr="00B229A0" w:rsidRDefault="00725947" w:rsidP="00725947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Estimated number of students </w:t>
      </w:r>
      <w:r w:rsidR="00B229A0">
        <w:rPr>
          <w:rFonts w:asciiTheme="minorHAnsi" w:hAnsiTheme="minorHAnsi"/>
          <w:sz w:val="20"/>
          <w:szCs w:val="20"/>
        </w:rPr>
        <w:t xml:space="preserve">at Oakland University eligible to receive Emergency Grants as of report date: </w:t>
      </w:r>
      <w:r w:rsidR="00B229A0" w:rsidRPr="0032765B">
        <w:rPr>
          <w:rFonts w:asciiTheme="minorHAnsi" w:hAnsiTheme="minorHAnsi"/>
          <w:b/>
          <w:sz w:val="20"/>
          <w:szCs w:val="20"/>
        </w:rPr>
        <w:t>1</w:t>
      </w:r>
      <w:r w:rsidR="0032765B" w:rsidRPr="0032765B">
        <w:rPr>
          <w:rFonts w:asciiTheme="minorHAnsi" w:hAnsiTheme="minorHAnsi"/>
          <w:b/>
          <w:sz w:val="20"/>
          <w:szCs w:val="20"/>
        </w:rPr>
        <w:t>1,012</w:t>
      </w:r>
    </w:p>
    <w:p w:rsidR="00B229A0" w:rsidRPr="00B229A0" w:rsidRDefault="00B229A0" w:rsidP="00B229A0">
      <w:pPr>
        <w:pStyle w:val="ListParagraph"/>
        <w:rPr>
          <w:rFonts w:asciiTheme="minorHAnsi" w:hAnsiTheme="minorHAnsi"/>
          <w:sz w:val="20"/>
          <w:szCs w:val="20"/>
        </w:rPr>
      </w:pPr>
    </w:p>
    <w:p w:rsidR="00B229A0" w:rsidRPr="00B229A0" w:rsidRDefault="00B229A0" w:rsidP="00725947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Total number of students who have received an Emergency Grant as of report date: </w:t>
      </w:r>
      <w:r w:rsidRPr="00895B26">
        <w:rPr>
          <w:rFonts w:asciiTheme="minorHAnsi" w:hAnsiTheme="minorHAnsi"/>
          <w:b/>
          <w:sz w:val="20"/>
          <w:szCs w:val="20"/>
        </w:rPr>
        <w:t>10,</w:t>
      </w:r>
      <w:r w:rsidR="00895B26" w:rsidRPr="00895B26">
        <w:rPr>
          <w:rFonts w:asciiTheme="minorHAnsi" w:hAnsiTheme="minorHAnsi"/>
          <w:b/>
          <w:sz w:val="20"/>
          <w:szCs w:val="20"/>
        </w:rPr>
        <w:t>899</w:t>
      </w:r>
    </w:p>
    <w:p w:rsidR="00B229A0" w:rsidRPr="00B229A0" w:rsidRDefault="00B229A0" w:rsidP="00B229A0">
      <w:pPr>
        <w:pStyle w:val="ListParagraph"/>
        <w:rPr>
          <w:rFonts w:asciiTheme="minorHAnsi" w:hAnsiTheme="minorHAnsi"/>
          <w:sz w:val="20"/>
          <w:szCs w:val="20"/>
        </w:rPr>
      </w:pPr>
    </w:p>
    <w:p w:rsidR="00B229A0" w:rsidRDefault="00B229A0" w:rsidP="00725947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method(s) used by Oakland University to determine which students receive Emergency Grant and how much under Section 18004(a)(1) of the CARES Act:</w:t>
      </w:r>
    </w:p>
    <w:p w:rsidR="00B229A0" w:rsidRPr="00B229A0" w:rsidRDefault="00B229A0" w:rsidP="00B229A0">
      <w:pPr>
        <w:pStyle w:val="ListParagraph"/>
        <w:rPr>
          <w:rFonts w:asciiTheme="minorHAnsi" w:hAnsiTheme="minorHAnsi"/>
          <w:sz w:val="20"/>
          <w:szCs w:val="20"/>
        </w:rPr>
      </w:pPr>
    </w:p>
    <w:p w:rsidR="000C213F" w:rsidRPr="003D52B4" w:rsidRDefault="000C213F" w:rsidP="000C213F">
      <w:pPr>
        <w:pStyle w:val="NormalWeb"/>
        <w:shd w:val="clear" w:color="auto" w:fill="FFFFFF"/>
        <w:spacing w:before="0" w:beforeAutospacing="0" w:after="30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 w:rsidRPr="003D52B4">
        <w:rPr>
          <w:rFonts w:asciiTheme="minorHAnsi" w:hAnsiTheme="minorHAnsi" w:cs="Helvetica"/>
          <w:color w:val="222222"/>
          <w:sz w:val="18"/>
          <w:szCs w:val="18"/>
          <w:shd w:val="clear" w:color="auto" w:fill="FFFFFF"/>
        </w:rPr>
        <w:t>With guidance from the U.S. Department of Education, a committee collaborated with OU leadership to establish the following criteria:</w:t>
      </w: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 xml:space="preserve">Phase I Awards:  </w:t>
      </w:r>
    </w:p>
    <w:p w:rsidR="003D52B4" w:rsidRDefault="006E4651" w:rsidP="000C213F">
      <w:pPr>
        <w:pStyle w:val="NormalWeb"/>
        <w:shd w:val="clear" w:color="auto" w:fill="FFFFFF"/>
        <w:spacing w:before="0" w:beforeAutospacing="0" w:after="30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 xml:space="preserve">The first wave of awards was </w:t>
      </w:r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 xml:space="preserve">disbursed to eligible students who were enrolled in the </w:t>
      </w:r>
      <w:proofErr w:type="gramStart"/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>Winter</w:t>
      </w:r>
      <w:proofErr w:type="gramEnd"/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 xml:space="preserve"> 2020 semester. </w:t>
      </w:r>
      <w:r>
        <w:rPr>
          <w:rFonts w:asciiTheme="minorHAnsi" w:hAnsiTheme="minorHAnsi" w:cs="Helvetica"/>
          <w:color w:val="222222"/>
          <w:sz w:val="18"/>
          <w:szCs w:val="18"/>
        </w:rPr>
        <w:t xml:space="preserve"> </w:t>
      </w:r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 xml:space="preserve">These grants </w:t>
      </w:r>
      <w:r>
        <w:rPr>
          <w:rFonts w:asciiTheme="minorHAnsi" w:hAnsiTheme="minorHAnsi" w:cs="Helvetica"/>
          <w:color w:val="222222"/>
          <w:sz w:val="18"/>
          <w:szCs w:val="18"/>
        </w:rPr>
        <w:t>were</w:t>
      </w:r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 xml:space="preserve"> automatic</w:t>
      </w:r>
      <w:r w:rsidRPr="000C213F">
        <w:rPr>
          <w:rFonts w:asciiTheme="minorHAnsi" w:hAnsiTheme="minorHAnsi" w:cs="Helvetica"/>
          <w:color w:val="222222"/>
          <w:sz w:val="18"/>
          <w:szCs w:val="18"/>
        </w:rPr>
        <w:t xml:space="preserve">; </w:t>
      </w:r>
      <w:r>
        <w:rPr>
          <w:rFonts w:asciiTheme="minorHAnsi" w:hAnsiTheme="minorHAnsi" w:cs="Helvetica"/>
          <w:color w:val="222222"/>
          <w:sz w:val="18"/>
          <w:szCs w:val="18"/>
        </w:rPr>
        <w:t>no</w:t>
      </w:r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 xml:space="preserve"> application process </w:t>
      </w:r>
      <w:r>
        <w:rPr>
          <w:rFonts w:asciiTheme="minorHAnsi" w:hAnsiTheme="minorHAnsi" w:cs="Helvetica"/>
          <w:color w:val="222222"/>
          <w:sz w:val="18"/>
          <w:szCs w:val="18"/>
        </w:rPr>
        <w:t>was</w:t>
      </w:r>
      <w:r w:rsidR="000C213F" w:rsidRPr="000C213F">
        <w:rPr>
          <w:rFonts w:asciiTheme="minorHAnsi" w:hAnsiTheme="minorHAnsi" w:cs="Helvetica"/>
          <w:color w:val="222222"/>
          <w:sz w:val="18"/>
          <w:szCs w:val="18"/>
        </w:rPr>
        <w:t xml:space="preserve"> necessary. </w:t>
      </w: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  <w:r w:rsidRPr="003D52B4">
        <w:rPr>
          <w:rFonts w:asciiTheme="minorHAnsi" w:hAnsiTheme="minorHAnsi" w:cs="Helvetica"/>
          <w:b/>
          <w:color w:val="222222"/>
          <w:sz w:val="18"/>
          <w:szCs w:val="18"/>
        </w:rPr>
        <w:t>Eligibility:</w:t>
      </w:r>
    </w:p>
    <w:p w:rsidR="003D52B4" w:rsidRDefault="003D52B4" w:rsidP="003D52B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be Title IV Federal Aid eligible</w:t>
      </w:r>
    </w:p>
    <w:p w:rsidR="003D52B4" w:rsidRDefault="003D52B4" w:rsidP="003D52B4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Competed the 2019-20 FAFSA</w:t>
      </w:r>
    </w:p>
    <w:p w:rsidR="003D52B4" w:rsidRDefault="003D52B4" w:rsidP="003D52B4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Awarded some type of federal aid/loan</w:t>
      </w:r>
    </w:p>
    <w:p w:rsidR="003D52B4" w:rsidRDefault="003D52B4" w:rsidP="003D52B4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Verification complete, if federally selected</w:t>
      </w:r>
    </w:p>
    <w:p w:rsidR="003D52B4" w:rsidRDefault="003D52B4" w:rsidP="003D52B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be enrolled in Winter 2020 semester in at least 1 credit hour as of March 13</w:t>
      </w:r>
    </w:p>
    <w:p w:rsidR="003D52B4" w:rsidRDefault="003D52B4" w:rsidP="003D52B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not be enrolled in exclusively online courses as of March 13 for the Winter 2020 semester</w:t>
      </w: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ind w:left="1080"/>
        <w:rPr>
          <w:rFonts w:asciiTheme="minorHAnsi" w:hAnsiTheme="minorHAnsi" w:cs="Helvetica"/>
          <w:color w:val="222222"/>
          <w:sz w:val="18"/>
          <w:szCs w:val="18"/>
        </w:rPr>
      </w:pP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  <w:r>
        <w:rPr>
          <w:rFonts w:asciiTheme="minorHAnsi" w:hAnsiTheme="minorHAnsi" w:cs="Helvetica"/>
          <w:b/>
          <w:color w:val="222222"/>
          <w:sz w:val="18"/>
          <w:szCs w:val="18"/>
        </w:rPr>
        <w:t>Grants</w:t>
      </w:r>
      <w:r w:rsidRPr="003D52B4">
        <w:rPr>
          <w:rFonts w:asciiTheme="minorHAnsi" w:hAnsiTheme="minorHAnsi" w:cs="Helvetica"/>
          <w:b/>
          <w:color w:val="222222"/>
          <w:sz w:val="18"/>
          <w:szCs w:val="18"/>
        </w:rPr>
        <w:t>:</w:t>
      </w:r>
      <w:r>
        <w:rPr>
          <w:rFonts w:asciiTheme="minorHAnsi" w:hAnsiTheme="minorHAnsi" w:cs="Helvetica"/>
          <w:b/>
          <w:color w:val="222222"/>
          <w:sz w:val="18"/>
          <w:szCs w:val="18"/>
        </w:rPr>
        <w:t xml:space="preserve"> </w:t>
      </w:r>
    </w:p>
    <w:p w:rsidR="003D52B4" w:rsidRDefault="003D52B4" w:rsidP="003D52B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Automatic grant (no application process)</w:t>
      </w:r>
    </w:p>
    <w:p w:rsidR="003D52B4" w:rsidRDefault="003D52B4" w:rsidP="003D52B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Distributed in the same manner as financial aid refunds</w:t>
      </w:r>
    </w:p>
    <w:p w:rsidR="003D52B4" w:rsidRDefault="003D52B4" w:rsidP="003D52B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Does not need to be repaid</w:t>
      </w: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rFonts w:asciiTheme="minorHAnsi" w:hAnsiTheme="minorHAnsi" w:cs="Helvetica"/>
          <w:color w:val="222222"/>
          <w:sz w:val="18"/>
          <w:szCs w:val="18"/>
        </w:rPr>
      </w:pP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720"/>
        <w:rPr>
          <w:rFonts w:asciiTheme="minorHAnsi" w:hAnsiTheme="minorHAnsi" w:cs="Helvetica"/>
          <w:color w:val="222222"/>
          <w:sz w:val="18"/>
          <w:szCs w:val="18"/>
        </w:rPr>
      </w:pP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lastRenderedPageBreak/>
        <w:t xml:space="preserve">Phase II Awards:  </w:t>
      </w: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The second phase of awards are being distributed via and application process where students can apply for an additional $500 of emergency grants.</w:t>
      </w: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  <w:r w:rsidRPr="003D52B4">
        <w:rPr>
          <w:rFonts w:asciiTheme="minorHAnsi" w:hAnsiTheme="minorHAnsi" w:cs="Helvetica"/>
          <w:b/>
          <w:color w:val="222222"/>
          <w:sz w:val="18"/>
          <w:szCs w:val="18"/>
        </w:rPr>
        <w:t>Eligibility:</w:t>
      </w:r>
    </w:p>
    <w:p w:rsidR="006E4651" w:rsidRDefault="006E4651" w:rsidP="006E465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be Title IV Federal Aid eligible</w:t>
      </w:r>
    </w:p>
    <w:p w:rsidR="006E4651" w:rsidRDefault="006E4651" w:rsidP="006E4651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Competed the 2019-20 FAFSA</w:t>
      </w:r>
    </w:p>
    <w:p w:rsidR="006E4651" w:rsidRDefault="006E4651" w:rsidP="006E4651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Awarded some type of federal aid/loan</w:t>
      </w:r>
    </w:p>
    <w:p w:rsidR="006E4651" w:rsidRDefault="006E4651" w:rsidP="006E4651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Verification complete, if federally selected</w:t>
      </w:r>
    </w:p>
    <w:p w:rsidR="006E4651" w:rsidRDefault="006E4651" w:rsidP="006E465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be enrolled in Winter 2020 or Summer 2020 semesters in at least 1 credit hour as of March 13</w:t>
      </w:r>
    </w:p>
    <w:p w:rsidR="006E4651" w:rsidRDefault="006E4651" w:rsidP="006E465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not be enrolled in exclusively online courses as of March 13 for the Winter 2020 semester</w:t>
      </w: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1080"/>
        <w:rPr>
          <w:rFonts w:asciiTheme="minorHAnsi" w:hAnsiTheme="minorHAnsi" w:cs="Helvetica"/>
          <w:color w:val="222222"/>
          <w:sz w:val="18"/>
          <w:szCs w:val="18"/>
        </w:rPr>
      </w:pP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  <w:r>
        <w:rPr>
          <w:rFonts w:asciiTheme="minorHAnsi" w:hAnsiTheme="minorHAnsi" w:cs="Helvetica"/>
          <w:b/>
          <w:color w:val="222222"/>
          <w:sz w:val="18"/>
          <w:szCs w:val="18"/>
        </w:rPr>
        <w:t>Grants</w:t>
      </w:r>
      <w:r w:rsidRPr="003D52B4">
        <w:rPr>
          <w:rFonts w:asciiTheme="minorHAnsi" w:hAnsiTheme="minorHAnsi" w:cs="Helvetica"/>
          <w:b/>
          <w:color w:val="222222"/>
          <w:sz w:val="18"/>
          <w:szCs w:val="18"/>
        </w:rPr>
        <w:t>:</w:t>
      </w:r>
      <w:r>
        <w:rPr>
          <w:rFonts w:asciiTheme="minorHAnsi" w:hAnsiTheme="minorHAnsi" w:cs="Helvetica"/>
          <w:b/>
          <w:color w:val="222222"/>
          <w:sz w:val="18"/>
          <w:szCs w:val="18"/>
        </w:rPr>
        <w:t xml:space="preserve"> </w:t>
      </w:r>
    </w:p>
    <w:p w:rsidR="006E4651" w:rsidRDefault="00895B26" w:rsidP="006E465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Application process online</w:t>
      </w:r>
    </w:p>
    <w:p w:rsidR="006E4651" w:rsidRDefault="006E4651" w:rsidP="006E465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Distributed in the same manner as financial aid refunds</w:t>
      </w:r>
    </w:p>
    <w:p w:rsidR="006E4651" w:rsidRDefault="006E4651" w:rsidP="006E465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Does not need to be repaid</w:t>
      </w:r>
    </w:p>
    <w:p w:rsidR="006E4651" w:rsidRDefault="006E4651" w:rsidP="006E465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</w:p>
    <w:p w:rsidR="005A6681" w:rsidRDefault="005A6681" w:rsidP="005A6681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3D52B4">
        <w:rPr>
          <w:rFonts w:asciiTheme="minorHAnsi" w:hAnsiTheme="minorHAnsi"/>
          <w:sz w:val="20"/>
          <w:szCs w:val="20"/>
        </w:rPr>
        <w:t>Any instructions, directions, or guidance provided by the institution to students concerning the Emergency Grants.</w:t>
      </w:r>
    </w:p>
    <w:p w:rsidR="003D52B4" w:rsidRDefault="003D52B4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3D52B4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See attached email communications to students and visit the CARES Act: Emergency Funding webpage listed below. </w:t>
      </w:r>
    </w:p>
    <w:p w:rsidR="00DA213B" w:rsidRDefault="0032765B" w:rsidP="003D52B4">
      <w:pPr>
        <w:pStyle w:val="ListParagraph"/>
        <w:ind w:left="360"/>
        <w:rPr>
          <w:rStyle w:val="Hyperlink"/>
          <w:rFonts w:asciiTheme="minorHAnsi" w:hAnsiTheme="minorHAnsi"/>
          <w:sz w:val="20"/>
          <w:szCs w:val="20"/>
        </w:rPr>
      </w:pPr>
      <w:hyperlink r:id="rId10" w:history="1">
        <w:r w:rsidR="00DA213B" w:rsidRPr="00DA213B">
          <w:rPr>
            <w:rStyle w:val="Hyperlink"/>
            <w:rFonts w:asciiTheme="minorHAnsi" w:hAnsiTheme="minorHAnsi"/>
            <w:sz w:val="20"/>
            <w:szCs w:val="20"/>
          </w:rPr>
          <w:t>https://www.oakland.edu/financialservices/cares-act-emergency-funding/</w:t>
        </w:r>
      </w:hyperlink>
    </w:p>
    <w:p w:rsidR="009B562E" w:rsidRDefault="009B562E" w:rsidP="003D52B4">
      <w:pPr>
        <w:pStyle w:val="ListParagraph"/>
        <w:ind w:left="360"/>
        <w:rPr>
          <w:rStyle w:val="Hyperlink"/>
          <w:rFonts w:asciiTheme="minorHAnsi" w:hAnsiTheme="minorHAnsi"/>
          <w:sz w:val="20"/>
          <w:szCs w:val="20"/>
        </w:rPr>
      </w:pPr>
    </w:p>
    <w:p w:rsidR="009B562E" w:rsidRDefault="009B562E" w:rsidP="003D52B4">
      <w:pPr>
        <w:pStyle w:val="ListParagraph"/>
        <w:ind w:left="360"/>
        <w:rPr>
          <w:rStyle w:val="Hyperlink"/>
          <w:rFonts w:asciiTheme="minorHAnsi" w:hAnsiTheme="minorHAnsi"/>
          <w:sz w:val="20"/>
          <w:szCs w:val="20"/>
        </w:rPr>
      </w:pPr>
    </w:p>
    <w:p w:rsidR="009B562E" w:rsidRDefault="009B562E" w:rsidP="003D52B4">
      <w:pPr>
        <w:pStyle w:val="ListParagraph"/>
        <w:ind w:left="360"/>
        <w:rPr>
          <w:rStyle w:val="Hyperlink"/>
          <w:rFonts w:asciiTheme="minorHAnsi" w:hAnsiTheme="minorHAnsi"/>
          <w:sz w:val="20"/>
          <w:szCs w:val="20"/>
        </w:rPr>
      </w:pPr>
    </w:p>
    <w:p w:rsidR="009B562E" w:rsidRDefault="009B562E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Default="00895B26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89FEFB2" wp14:editId="2D324065">
            <wp:extent cx="5943600" cy="5795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3B" w:rsidRDefault="00895B26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F60F10A" wp14:editId="368C8AFF">
            <wp:extent cx="5943600" cy="7031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Default="00B20095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8B0F19E" wp14:editId="3384E4C5">
            <wp:extent cx="5943600" cy="5704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P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5A6681" w:rsidRDefault="005A6681" w:rsidP="00DA213B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386C0E" w:rsidRPr="00386C0E" w:rsidRDefault="00386C0E" w:rsidP="00386C0E">
      <w:pPr>
        <w:rPr>
          <w:rFonts w:asciiTheme="minorHAnsi" w:hAnsiTheme="minorHAnsi"/>
          <w:sz w:val="20"/>
          <w:szCs w:val="20"/>
        </w:rPr>
      </w:pPr>
    </w:p>
    <w:p w:rsidR="00E418F2" w:rsidRPr="00FC1FB5" w:rsidRDefault="00E418F2" w:rsidP="00FC1FB5">
      <w:pPr>
        <w:rPr>
          <w:rFonts w:asciiTheme="minorHAnsi" w:hAnsiTheme="minorHAnsi"/>
          <w:sz w:val="20"/>
          <w:szCs w:val="20"/>
        </w:rPr>
      </w:pPr>
    </w:p>
    <w:sectPr w:rsidR="00E418F2" w:rsidRPr="00FC1FB5" w:rsidSect="00255BC3">
      <w:footerReference w:type="default" r:id="rId14"/>
      <w:headerReference w:type="first" r:id="rId15"/>
      <w:footerReference w:type="first" r:id="rId16"/>
      <w:pgSz w:w="12240" w:h="15840" w:code="1"/>
      <w:pgMar w:top="936" w:right="1440" w:bottom="936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8B" w:rsidRDefault="0069608B" w:rsidP="00F320E5">
      <w:r>
        <w:separator/>
      </w:r>
    </w:p>
  </w:endnote>
  <w:endnote w:type="continuationSeparator" w:id="0">
    <w:p w:rsidR="0069608B" w:rsidRDefault="0069608B" w:rsidP="00F3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93" w:csb1="00000000"/>
  </w:font>
  <w:font w:name="Marigold">
    <w:charset w:val="00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948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0EF" w:rsidRDefault="005750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6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242C" w:rsidRDefault="00082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78289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C1FB5" w:rsidRPr="00FC1FB5" w:rsidRDefault="00FC1FB5">
        <w:pPr>
          <w:pStyle w:val="Footer"/>
          <w:jc w:val="center"/>
          <w:rPr>
            <w:sz w:val="20"/>
            <w:szCs w:val="20"/>
          </w:rPr>
        </w:pPr>
        <w:r w:rsidRPr="00FC1FB5">
          <w:rPr>
            <w:sz w:val="20"/>
            <w:szCs w:val="20"/>
          </w:rPr>
          <w:fldChar w:fldCharType="begin"/>
        </w:r>
        <w:r w:rsidRPr="00FC1FB5">
          <w:rPr>
            <w:sz w:val="20"/>
            <w:szCs w:val="20"/>
          </w:rPr>
          <w:instrText xml:space="preserve"> PAGE   \* MERGEFORMAT </w:instrText>
        </w:r>
        <w:r w:rsidRPr="00FC1FB5">
          <w:rPr>
            <w:sz w:val="20"/>
            <w:szCs w:val="20"/>
          </w:rPr>
          <w:fldChar w:fldCharType="separate"/>
        </w:r>
        <w:r w:rsidR="0032765B">
          <w:rPr>
            <w:noProof/>
            <w:sz w:val="20"/>
            <w:szCs w:val="20"/>
          </w:rPr>
          <w:t>1</w:t>
        </w:r>
        <w:r w:rsidRPr="00FC1FB5">
          <w:rPr>
            <w:noProof/>
            <w:sz w:val="20"/>
            <w:szCs w:val="20"/>
          </w:rPr>
          <w:fldChar w:fldCharType="end"/>
        </w:r>
      </w:p>
    </w:sdtContent>
  </w:sdt>
  <w:p w:rsidR="00421415" w:rsidRPr="00FC1FB5" w:rsidRDefault="00421415" w:rsidP="00FC1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8B" w:rsidRDefault="0069608B" w:rsidP="00F320E5">
      <w:r>
        <w:separator/>
      </w:r>
    </w:p>
  </w:footnote>
  <w:footnote w:type="continuationSeparator" w:id="0">
    <w:p w:rsidR="0069608B" w:rsidRDefault="0069608B" w:rsidP="00F3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B4" w:rsidRDefault="007A70B4">
    <w:pPr>
      <w:pStyle w:val="Header"/>
    </w:pPr>
  </w:p>
  <w:p w:rsidR="008C4C1A" w:rsidRDefault="008C4C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6F1"/>
    <w:multiLevelType w:val="hybridMultilevel"/>
    <w:tmpl w:val="535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10E"/>
    <w:multiLevelType w:val="hybridMultilevel"/>
    <w:tmpl w:val="4BDE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2995"/>
    <w:multiLevelType w:val="hybridMultilevel"/>
    <w:tmpl w:val="B45A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75D29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61118"/>
    <w:multiLevelType w:val="hybridMultilevel"/>
    <w:tmpl w:val="E160C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C4F0C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33307"/>
    <w:multiLevelType w:val="multilevel"/>
    <w:tmpl w:val="CCAA468C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648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Univers Condensed" w:hAnsi="Marigold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012ADE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636B"/>
    <w:multiLevelType w:val="hybridMultilevel"/>
    <w:tmpl w:val="B86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7636"/>
    <w:multiLevelType w:val="hybridMultilevel"/>
    <w:tmpl w:val="B3D6B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A6A8C"/>
    <w:multiLevelType w:val="hybridMultilevel"/>
    <w:tmpl w:val="86B2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6286A"/>
    <w:multiLevelType w:val="multilevel"/>
    <w:tmpl w:val="4A3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6019E"/>
    <w:multiLevelType w:val="hybridMultilevel"/>
    <w:tmpl w:val="7C60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640217"/>
    <w:multiLevelType w:val="hybridMultilevel"/>
    <w:tmpl w:val="E3EED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7B5D75"/>
    <w:multiLevelType w:val="hybridMultilevel"/>
    <w:tmpl w:val="4E30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A09AA"/>
    <w:multiLevelType w:val="hybridMultilevel"/>
    <w:tmpl w:val="C7C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85697"/>
    <w:multiLevelType w:val="hybridMultilevel"/>
    <w:tmpl w:val="BED0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2088">
      <w:start w:val="1"/>
      <w:numFmt w:val="lowerLetter"/>
      <w:pStyle w:val="Replettertext2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6E5D"/>
    <w:multiLevelType w:val="multilevel"/>
    <w:tmpl w:val="677681A6"/>
    <w:lvl w:ilvl="0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  <w:sz w:val="20"/>
      </w:rPr>
    </w:lvl>
  </w:abstractNum>
  <w:abstractNum w:abstractNumId="18">
    <w:nsid w:val="7FE307D3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8"/>
  </w:num>
  <w:num w:numId="13">
    <w:abstractNumId w:val="14"/>
  </w:num>
  <w:num w:numId="14">
    <w:abstractNumId w:val="1"/>
  </w:num>
  <w:num w:numId="15">
    <w:abstractNumId w:val="2"/>
  </w:num>
  <w:num w:numId="16">
    <w:abstractNumId w:val="13"/>
  </w:num>
  <w:num w:numId="17">
    <w:abstractNumId w:val="17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95"/>
    <w:rsid w:val="0004340A"/>
    <w:rsid w:val="000815F8"/>
    <w:rsid w:val="0008242C"/>
    <w:rsid w:val="000C213F"/>
    <w:rsid w:val="000E538C"/>
    <w:rsid w:val="000E5807"/>
    <w:rsid w:val="0016092C"/>
    <w:rsid w:val="00167672"/>
    <w:rsid w:val="001852B5"/>
    <w:rsid w:val="001D4E2A"/>
    <w:rsid w:val="002038CD"/>
    <w:rsid w:val="00255BC3"/>
    <w:rsid w:val="002F5983"/>
    <w:rsid w:val="00325C82"/>
    <w:rsid w:val="0032765B"/>
    <w:rsid w:val="0034209C"/>
    <w:rsid w:val="00386C0E"/>
    <w:rsid w:val="003D52B4"/>
    <w:rsid w:val="00421415"/>
    <w:rsid w:val="00481F45"/>
    <w:rsid w:val="00485248"/>
    <w:rsid w:val="004D7CA6"/>
    <w:rsid w:val="00503BBB"/>
    <w:rsid w:val="005750EF"/>
    <w:rsid w:val="005823C6"/>
    <w:rsid w:val="005920EC"/>
    <w:rsid w:val="005A6681"/>
    <w:rsid w:val="005D7277"/>
    <w:rsid w:val="00636AF0"/>
    <w:rsid w:val="00644E96"/>
    <w:rsid w:val="0066106D"/>
    <w:rsid w:val="0069608B"/>
    <w:rsid w:val="006E4651"/>
    <w:rsid w:val="006F681A"/>
    <w:rsid w:val="00702895"/>
    <w:rsid w:val="00725947"/>
    <w:rsid w:val="00757737"/>
    <w:rsid w:val="0078410D"/>
    <w:rsid w:val="007A70B4"/>
    <w:rsid w:val="007B1458"/>
    <w:rsid w:val="007E3F85"/>
    <w:rsid w:val="0080619F"/>
    <w:rsid w:val="008333AA"/>
    <w:rsid w:val="00853B3F"/>
    <w:rsid w:val="00895B26"/>
    <w:rsid w:val="008B1E47"/>
    <w:rsid w:val="008C4C1A"/>
    <w:rsid w:val="008C5949"/>
    <w:rsid w:val="008F0CBE"/>
    <w:rsid w:val="0094754F"/>
    <w:rsid w:val="0098301C"/>
    <w:rsid w:val="009B562E"/>
    <w:rsid w:val="00A41E24"/>
    <w:rsid w:val="00A63D97"/>
    <w:rsid w:val="00A94B02"/>
    <w:rsid w:val="00AB2341"/>
    <w:rsid w:val="00AD3C60"/>
    <w:rsid w:val="00B20095"/>
    <w:rsid w:val="00B229A0"/>
    <w:rsid w:val="00B41497"/>
    <w:rsid w:val="00B82AFA"/>
    <w:rsid w:val="00BE7EB9"/>
    <w:rsid w:val="00C66B2D"/>
    <w:rsid w:val="00CD6BDA"/>
    <w:rsid w:val="00D0119A"/>
    <w:rsid w:val="00D50BBD"/>
    <w:rsid w:val="00DA213B"/>
    <w:rsid w:val="00E06588"/>
    <w:rsid w:val="00E07274"/>
    <w:rsid w:val="00E10159"/>
    <w:rsid w:val="00E12353"/>
    <w:rsid w:val="00E235F0"/>
    <w:rsid w:val="00E418F2"/>
    <w:rsid w:val="00E734A8"/>
    <w:rsid w:val="00F01629"/>
    <w:rsid w:val="00F320E5"/>
    <w:rsid w:val="00F534B5"/>
    <w:rsid w:val="00F65598"/>
    <w:rsid w:val="00F91DF9"/>
    <w:rsid w:val="00FC1FB5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20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20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0E5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E12353"/>
    <w:pPr>
      <w:numPr>
        <w:numId w:val="1"/>
      </w:numPr>
      <w:tabs>
        <w:tab w:val="left" w:pos="634"/>
        <w:tab w:val="left" w:pos="1152"/>
        <w:tab w:val="left" w:pos="1728"/>
        <w:tab w:val="left" w:pos="2304"/>
      </w:tabs>
      <w:spacing w:before="120" w:after="120"/>
      <w:jc w:val="both"/>
    </w:pPr>
    <w:rPr>
      <w:rFonts w:ascii="Arial" w:hAnsi="Arial" w:cs="Arial"/>
      <w:snapToGrid w:val="0"/>
      <w:sz w:val="22"/>
    </w:rPr>
  </w:style>
  <w:style w:type="paragraph" w:customStyle="1" w:styleId="Replettertext2">
    <w:name w:val="Rep letter text 2"/>
    <w:basedOn w:val="Normal"/>
    <w:qFormat/>
    <w:rsid w:val="00E12353"/>
    <w:pPr>
      <w:numPr>
        <w:ilvl w:val="1"/>
        <w:numId w:val="2"/>
      </w:numPr>
      <w:tabs>
        <w:tab w:val="left" w:pos="720"/>
      </w:tabs>
      <w:spacing w:before="120" w:after="120"/>
      <w:ind w:left="1080"/>
      <w:jc w:val="both"/>
    </w:pPr>
    <w:rPr>
      <w:rFonts w:ascii="Arial" w:hAnsi="Arial" w:cs="Arial"/>
      <w:snapToGrid w:val="0"/>
      <w:sz w:val="22"/>
    </w:rPr>
  </w:style>
  <w:style w:type="paragraph" w:styleId="NoSpacing">
    <w:name w:val="No Spacing"/>
    <w:uiPriority w:val="1"/>
    <w:qFormat/>
    <w:rsid w:val="00325C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33AA"/>
    <w:pPr>
      <w:ind w:left="720"/>
      <w:contextualSpacing/>
    </w:pPr>
  </w:style>
  <w:style w:type="paragraph" w:customStyle="1" w:styleId="WfxFaxNum">
    <w:name w:val="WfxFaxNum"/>
    <w:basedOn w:val="Normal"/>
    <w:rsid w:val="00E418F2"/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0C21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1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2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20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20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0E5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E12353"/>
    <w:pPr>
      <w:numPr>
        <w:numId w:val="1"/>
      </w:numPr>
      <w:tabs>
        <w:tab w:val="left" w:pos="634"/>
        <w:tab w:val="left" w:pos="1152"/>
        <w:tab w:val="left" w:pos="1728"/>
        <w:tab w:val="left" w:pos="2304"/>
      </w:tabs>
      <w:spacing w:before="120" w:after="120"/>
      <w:jc w:val="both"/>
    </w:pPr>
    <w:rPr>
      <w:rFonts w:ascii="Arial" w:hAnsi="Arial" w:cs="Arial"/>
      <w:snapToGrid w:val="0"/>
      <w:sz w:val="22"/>
    </w:rPr>
  </w:style>
  <w:style w:type="paragraph" w:customStyle="1" w:styleId="Replettertext2">
    <w:name w:val="Rep letter text 2"/>
    <w:basedOn w:val="Normal"/>
    <w:qFormat/>
    <w:rsid w:val="00E12353"/>
    <w:pPr>
      <w:numPr>
        <w:ilvl w:val="1"/>
        <w:numId w:val="2"/>
      </w:numPr>
      <w:tabs>
        <w:tab w:val="left" w:pos="720"/>
      </w:tabs>
      <w:spacing w:before="120" w:after="120"/>
      <w:ind w:left="1080"/>
      <w:jc w:val="both"/>
    </w:pPr>
    <w:rPr>
      <w:rFonts w:ascii="Arial" w:hAnsi="Arial" w:cs="Arial"/>
      <w:snapToGrid w:val="0"/>
      <w:sz w:val="22"/>
    </w:rPr>
  </w:style>
  <w:style w:type="paragraph" w:styleId="NoSpacing">
    <w:name w:val="No Spacing"/>
    <w:uiPriority w:val="1"/>
    <w:qFormat/>
    <w:rsid w:val="00325C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33AA"/>
    <w:pPr>
      <w:ind w:left="720"/>
      <w:contextualSpacing/>
    </w:pPr>
  </w:style>
  <w:style w:type="paragraph" w:customStyle="1" w:styleId="WfxFaxNum">
    <w:name w:val="WfxFaxNum"/>
    <w:basedOn w:val="Normal"/>
    <w:rsid w:val="00E418F2"/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0C21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1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2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oakland.edu/financialservices/cares-act-emergency-fundin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marbe.ADMNET\Application%20Data\Microsoft\Templates\OU%20Budget%20Office%20with%20OU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6BEE-785D-4A14-AFC3-499E50D0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Budget Office with OU logo</Template>
  <TotalTime>326</TotalTime>
  <Pages>5</Pages>
  <Words>427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2005</vt:lpstr>
    </vt:vector>
  </TitlesOfParts>
  <Company>Oakland University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2005</dc:title>
  <dc:creator>Tom LeMarbe</dc:creator>
  <cp:lastModifiedBy>Jim Hargett</cp:lastModifiedBy>
  <cp:revision>12</cp:revision>
  <cp:lastPrinted>2020-02-24T15:43:00Z</cp:lastPrinted>
  <dcterms:created xsi:type="dcterms:W3CDTF">2020-05-26T18:38:00Z</dcterms:created>
  <dcterms:modified xsi:type="dcterms:W3CDTF">2020-07-16T19:58:00Z</dcterms:modified>
</cp:coreProperties>
</file>