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EA4A" w14:textId="2091496F" w:rsidR="00EF7DA9" w:rsidRPr="00CF69E3" w:rsidRDefault="003E0361" w:rsidP="00CF69E3">
      <w:pPr>
        <w:jc w:val="center"/>
        <w:rPr>
          <w:rFonts w:asciiTheme="minorHAnsi" w:hAnsiTheme="minorHAnsi"/>
          <w:b/>
          <w:i/>
          <w:iCs/>
          <w:sz w:val="32"/>
          <w:szCs w:val="32"/>
        </w:rPr>
      </w:pPr>
      <w:r w:rsidRPr="00CF69E3">
        <w:rPr>
          <w:rFonts w:asciiTheme="minorHAnsi" w:hAnsiTheme="minorHAnsi"/>
          <w:b/>
          <w:sz w:val="32"/>
          <w:szCs w:val="32"/>
        </w:rPr>
        <w:t>Anthropology</w:t>
      </w:r>
      <w:r w:rsidR="00CF69E3" w:rsidRPr="00CF69E3">
        <w:rPr>
          <w:rFonts w:asciiTheme="minorHAnsi" w:hAnsiTheme="minorHAnsi"/>
          <w:b/>
          <w:i/>
          <w:iCs/>
          <w:sz w:val="32"/>
          <w:szCs w:val="32"/>
        </w:rPr>
        <w:t xml:space="preserve"> </w:t>
      </w:r>
      <w:r w:rsidR="00362E94" w:rsidRPr="00CF69E3">
        <w:rPr>
          <w:rFonts w:asciiTheme="minorHAnsi" w:hAnsiTheme="minorHAnsi"/>
          <w:b/>
          <w:sz w:val="32"/>
          <w:szCs w:val="32"/>
        </w:rPr>
        <w:t xml:space="preserve">Assessment Plan </w:t>
      </w:r>
      <w:r w:rsidRPr="00CF69E3">
        <w:rPr>
          <w:rFonts w:asciiTheme="minorHAnsi" w:hAnsiTheme="minorHAnsi"/>
          <w:b/>
          <w:sz w:val="32"/>
          <w:szCs w:val="32"/>
        </w:rPr>
        <w:t>Report for 2014</w:t>
      </w:r>
    </w:p>
    <w:p w14:paraId="6560F51E" w14:textId="77777777" w:rsidR="00273E8D" w:rsidRDefault="00273E8D" w:rsidP="00300AB3">
      <w:pPr>
        <w:rPr>
          <w:rFonts w:asciiTheme="minorHAnsi" w:hAnsiTheme="minorHAnsi"/>
          <w:sz w:val="22"/>
          <w:szCs w:val="22"/>
        </w:rPr>
      </w:pPr>
    </w:p>
    <w:p w14:paraId="53A870BD" w14:textId="77777777" w:rsidR="00273E8D" w:rsidRDefault="00273E8D" w:rsidP="00273E8D">
      <w:pPr>
        <w:rPr>
          <w:rFonts w:asciiTheme="minorHAnsi" w:hAnsiTheme="minorHAnsi"/>
          <w:b/>
          <w:sz w:val="22"/>
          <w:szCs w:val="22"/>
        </w:rPr>
      </w:pPr>
    </w:p>
    <w:p w14:paraId="7FF9F1A0"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32B787B4" w14:textId="77777777" w:rsidR="004E192A" w:rsidRDefault="004E192A" w:rsidP="00273E8D">
      <w:pPr>
        <w:rPr>
          <w:rFonts w:asciiTheme="minorHAnsi" w:hAnsiTheme="minorHAnsi" w:cstheme="minorHAnsi"/>
          <w:i/>
          <w:sz w:val="22"/>
          <w:szCs w:val="22"/>
        </w:rPr>
      </w:pPr>
    </w:p>
    <w:p w14:paraId="45DDD28A" w14:textId="77777777"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1B05A8">
        <w:rPr>
          <w:rFonts w:asciiTheme="minorHAnsi" w:hAnsiTheme="minorHAnsi" w:cstheme="minorHAnsi"/>
          <w:sz w:val="22"/>
          <w:szCs w:val="22"/>
        </w:rPr>
        <w:t xml:space="preserve">  Anthropology</w:t>
      </w:r>
    </w:p>
    <w:p w14:paraId="69E2E347" w14:textId="77777777" w:rsidR="00273E8D" w:rsidRDefault="00273E8D" w:rsidP="00273E8D">
      <w:pPr>
        <w:rPr>
          <w:rFonts w:asciiTheme="minorHAnsi" w:hAnsiTheme="minorHAnsi" w:cstheme="minorHAnsi"/>
          <w:sz w:val="22"/>
          <w:szCs w:val="22"/>
        </w:rPr>
      </w:pPr>
    </w:p>
    <w:p w14:paraId="40361141"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1B05A8">
        <w:rPr>
          <w:rFonts w:asciiTheme="minorHAnsi" w:hAnsiTheme="minorHAnsi" w:cstheme="minorHAnsi"/>
          <w:sz w:val="22"/>
          <w:szCs w:val="22"/>
        </w:rPr>
        <w:t xml:space="preserve"> CAS</w:t>
      </w:r>
    </w:p>
    <w:p w14:paraId="7540CB1E" w14:textId="77777777" w:rsidR="00273E8D" w:rsidRPr="00265383" w:rsidRDefault="00273E8D" w:rsidP="00273E8D">
      <w:pPr>
        <w:rPr>
          <w:rFonts w:asciiTheme="minorHAnsi" w:hAnsiTheme="minorHAnsi" w:cstheme="minorHAnsi"/>
          <w:b/>
          <w:sz w:val="22"/>
          <w:szCs w:val="22"/>
        </w:rPr>
      </w:pPr>
    </w:p>
    <w:p w14:paraId="51BD3C4D"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63BF404B" w14:textId="77777777"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Content>
          <w:r w:rsidR="001B05A8">
            <w:rPr>
              <w:rFonts w:asciiTheme="minorHAnsi" w:hAnsiTheme="minorHAnsi" w:cstheme="minorHAnsi"/>
              <w:sz w:val="22"/>
              <w:szCs w:val="22"/>
            </w:rPr>
            <w:t>X</w:t>
          </w:r>
          <w:r>
            <w:rPr>
              <w:rFonts w:ascii="MS Gothic" w:eastAsia="MS Gothic" w:hAnsi="MS Gothic" w:cstheme="minorHAnsi" w:hint="eastAsia"/>
              <w:sz w:val="22"/>
              <w:szCs w:val="22"/>
            </w:rPr>
            <w:t>☐</w:t>
          </w:r>
        </w:sdtContent>
      </w:sdt>
    </w:p>
    <w:p w14:paraId="3B1273C9" w14:textId="77777777"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14:paraId="4DF0A722" w14:textId="77777777"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Content>
          <w:r>
            <w:rPr>
              <w:rFonts w:ascii="MS Gothic" w:eastAsia="MS Gothic" w:hAnsi="MS Gothic" w:cstheme="minorHAnsi" w:hint="eastAsia"/>
              <w:sz w:val="22"/>
              <w:szCs w:val="22"/>
            </w:rPr>
            <w:t>☐</w:t>
          </w:r>
        </w:sdtContent>
      </w:sdt>
    </w:p>
    <w:p w14:paraId="24489746" w14:textId="77777777" w:rsidR="00273E8D" w:rsidRPr="00265383" w:rsidRDefault="00273E8D" w:rsidP="00273E8D">
      <w:pPr>
        <w:ind w:left="720"/>
        <w:rPr>
          <w:rFonts w:asciiTheme="minorHAnsi" w:hAnsiTheme="minorHAnsi" w:cstheme="minorHAnsi"/>
          <w:sz w:val="22"/>
          <w:szCs w:val="22"/>
        </w:rPr>
      </w:pPr>
    </w:p>
    <w:p w14:paraId="0FE01CB1"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23B977FC" w14:textId="77777777" w:rsidR="00273E8D" w:rsidRPr="00265383" w:rsidRDefault="00273E8D" w:rsidP="00273E8D">
      <w:pPr>
        <w:rPr>
          <w:rFonts w:asciiTheme="minorHAnsi" w:hAnsiTheme="minorHAnsi" w:cstheme="minorHAnsi"/>
          <w:sz w:val="22"/>
          <w:szCs w:val="22"/>
        </w:rPr>
      </w:pPr>
    </w:p>
    <w:p w14:paraId="1D3CD58B"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001B05A8">
        <w:rPr>
          <w:rFonts w:asciiTheme="minorHAnsi" w:hAnsiTheme="minorHAnsi" w:cstheme="minorHAnsi"/>
          <w:sz w:val="22"/>
          <w:szCs w:val="22"/>
        </w:rPr>
        <w:t>Suzanne Spencer-Wood (spencerw)</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41D8E48D"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1B05A8">
        <w:rPr>
          <w:rFonts w:asciiTheme="minorHAnsi" w:hAnsiTheme="minorHAnsi" w:cstheme="minorHAnsi"/>
          <w:sz w:val="22"/>
          <w:szCs w:val="22"/>
        </w:rPr>
        <w:t xml:space="preserve">  Jay Meehan (meehan)</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38C4D1C3" w14:textId="77777777"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1B05A8">
        <w:rPr>
          <w:rFonts w:asciiTheme="minorHAnsi" w:hAnsiTheme="minorHAnsi" w:cstheme="minorHAnsi"/>
          <w:sz w:val="22"/>
          <w:szCs w:val="22"/>
        </w:rPr>
        <w:t xml:space="preserve"> Kevin </w:t>
      </w:r>
      <w:r w:rsidRPr="00265383">
        <w:rPr>
          <w:rFonts w:asciiTheme="minorHAnsi" w:hAnsiTheme="minorHAnsi" w:cstheme="minorHAnsi"/>
          <w:sz w:val="22"/>
          <w:szCs w:val="22"/>
        </w:rPr>
        <w:tab/>
      </w:r>
    </w:p>
    <w:p w14:paraId="71AFE5D3" w14:textId="77777777" w:rsidR="00273E8D" w:rsidRDefault="00273E8D" w:rsidP="00300AB3">
      <w:pPr>
        <w:rPr>
          <w:rFonts w:asciiTheme="minorHAnsi" w:hAnsiTheme="minorHAnsi"/>
          <w:b/>
          <w:sz w:val="22"/>
          <w:szCs w:val="22"/>
          <w:u w:val="single"/>
        </w:rPr>
      </w:pPr>
    </w:p>
    <w:p w14:paraId="0410D481"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14B50E4A" w14:textId="77777777" w:rsidR="001C676A" w:rsidRDefault="001C676A" w:rsidP="00300AB3">
      <w:pPr>
        <w:rPr>
          <w:rFonts w:asciiTheme="minorHAnsi" w:hAnsiTheme="minorHAnsi"/>
          <w:b/>
          <w:sz w:val="22"/>
          <w:szCs w:val="22"/>
        </w:rPr>
      </w:pPr>
    </w:p>
    <w:p w14:paraId="00F1F3EB"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8"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5D273957" w14:textId="77777777" w:rsidR="00273E8D" w:rsidRDefault="00273E8D" w:rsidP="00300AB3">
      <w:pPr>
        <w:rPr>
          <w:rFonts w:asciiTheme="minorHAnsi" w:hAnsiTheme="minorHAnsi"/>
          <w:sz w:val="22"/>
          <w:szCs w:val="22"/>
        </w:rPr>
      </w:pPr>
    </w:p>
    <w:p w14:paraId="44CF9693"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9"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44C4062A" w14:textId="77777777" w:rsidR="00183399" w:rsidRDefault="00183399" w:rsidP="00273E8D">
      <w:pPr>
        <w:rPr>
          <w:rFonts w:asciiTheme="minorHAnsi" w:hAnsiTheme="minorHAnsi"/>
          <w:sz w:val="22"/>
          <w:szCs w:val="22"/>
        </w:rPr>
      </w:pPr>
    </w:p>
    <w:p w14:paraId="6AD04DC8"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14:paraId="5444DD54" w14:textId="77777777" w:rsidR="004E192A" w:rsidRDefault="004E192A" w:rsidP="001C676A">
      <w:pPr>
        <w:rPr>
          <w:rFonts w:asciiTheme="minorHAnsi" w:hAnsiTheme="minorHAnsi"/>
          <w:sz w:val="22"/>
          <w:szCs w:val="22"/>
        </w:rPr>
      </w:pPr>
    </w:p>
    <w:p w14:paraId="70EBBA1A" w14:textId="77777777"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14:paraId="1E4F6871" w14:textId="77777777" w:rsidR="001C676A" w:rsidRDefault="001C676A" w:rsidP="001C676A">
      <w:pPr>
        <w:rPr>
          <w:rFonts w:asciiTheme="minorHAnsi" w:hAnsiTheme="minorHAnsi"/>
          <w:sz w:val="22"/>
          <w:szCs w:val="22"/>
        </w:rPr>
      </w:pPr>
    </w:p>
    <w:p w14:paraId="6766673A"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14:paraId="5E931467"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14:paraId="4B82A8AE"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14:paraId="6E8DFF50" w14:textId="77777777"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14:paraId="588893AD" w14:textId="77777777"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14:paraId="0A96382E" w14:textId="77777777" w:rsidR="001C676A" w:rsidRDefault="001C676A" w:rsidP="004E192A">
      <w:pPr>
        <w:pStyle w:val="ListParagraph"/>
        <w:rPr>
          <w:rFonts w:asciiTheme="minorHAnsi" w:hAnsiTheme="minorHAnsi"/>
          <w:sz w:val="22"/>
          <w:szCs w:val="22"/>
        </w:rPr>
      </w:pPr>
    </w:p>
    <w:p w14:paraId="3FF5F881"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14:paraId="05659410" w14:textId="77777777">
        <w:tc>
          <w:tcPr>
            <w:tcW w:w="2618" w:type="dxa"/>
          </w:tcPr>
          <w:p w14:paraId="5A4B44C1" w14:textId="77777777"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710" w:type="dxa"/>
          </w:tcPr>
          <w:p w14:paraId="14997C6E" w14:textId="77777777"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672" w:type="dxa"/>
          </w:tcPr>
          <w:p w14:paraId="5F47330B" w14:textId="77777777" w:rsidR="0074746A" w:rsidRDefault="0074746A">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4050" w:type="dxa"/>
          </w:tcPr>
          <w:p w14:paraId="497E17D8" w14:textId="77777777" w:rsidR="0074746A" w:rsidRPr="00273E8D" w:rsidRDefault="00B34CC1" w:rsidP="0074746A">
            <w:pPr>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74746A" w14:paraId="7743F634" w14:textId="77777777">
        <w:tc>
          <w:tcPr>
            <w:tcW w:w="2618" w:type="dxa"/>
          </w:tcPr>
          <w:p w14:paraId="24EDCE14" w14:textId="567F6EB8" w:rsidR="0074746A" w:rsidRDefault="000A7997">
            <w:pPr>
              <w:rPr>
                <w:rFonts w:asciiTheme="minorHAnsi" w:hAnsiTheme="minorHAnsi"/>
                <w:sz w:val="22"/>
                <w:szCs w:val="22"/>
              </w:rPr>
            </w:pPr>
            <w:r>
              <w:rPr>
                <w:color w:val="000000"/>
              </w:rPr>
              <w:t>“…</w:t>
            </w:r>
            <w:r>
              <w:rPr>
                <w:rFonts w:ascii="ArialMT" w:hAnsi="ArialMT"/>
                <w:sz w:val="26"/>
              </w:rPr>
              <w:t>offers instructional programs of high quality that lead to degrees at the baccalaureate.”</w:t>
            </w:r>
          </w:p>
        </w:tc>
        <w:tc>
          <w:tcPr>
            <w:tcW w:w="2710" w:type="dxa"/>
          </w:tcPr>
          <w:p w14:paraId="5207ABCF" w14:textId="08064CA7" w:rsidR="0074746A" w:rsidRDefault="000A7997">
            <w:pPr>
              <w:rPr>
                <w:rFonts w:asciiTheme="minorHAnsi" w:hAnsiTheme="minorHAnsi"/>
                <w:sz w:val="22"/>
                <w:szCs w:val="22"/>
              </w:rPr>
            </w:pPr>
            <w:r>
              <w:t>“The B.A. degree seeks to develop critical thinking about human and cultural systems within an objective, historical, and global/local perspective.”</w:t>
            </w:r>
          </w:p>
        </w:tc>
        <w:tc>
          <w:tcPr>
            <w:tcW w:w="3672" w:type="dxa"/>
          </w:tcPr>
          <w:p w14:paraId="0B56F62D" w14:textId="0F0744FD" w:rsidR="0074746A" w:rsidRDefault="000A7997" w:rsidP="0021747C">
            <w:pPr>
              <w:rPr>
                <w:rFonts w:asciiTheme="minorHAnsi" w:hAnsiTheme="minorHAnsi"/>
                <w:sz w:val="22"/>
                <w:szCs w:val="22"/>
              </w:rPr>
            </w:pPr>
            <w:r>
              <w:t>anthropology majors will demonstrate knowledge of anthropological concepts, theories, and methods.</w:t>
            </w:r>
          </w:p>
        </w:tc>
        <w:tc>
          <w:tcPr>
            <w:tcW w:w="4050" w:type="dxa"/>
          </w:tcPr>
          <w:p w14:paraId="222EC4E3" w14:textId="3E519F2E" w:rsidR="0074746A" w:rsidRDefault="0021747C">
            <w:pPr>
              <w:rPr>
                <w:rFonts w:asciiTheme="minorHAnsi" w:hAnsiTheme="minorHAnsi"/>
                <w:sz w:val="22"/>
                <w:szCs w:val="22"/>
              </w:rPr>
            </w:pPr>
            <w:r>
              <w:t>An essay exam covering fundamental anthropological concepts, theories, and methods.</w:t>
            </w:r>
          </w:p>
        </w:tc>
      </w:tr>
      <w:tr w:rsidR="0074746A" w14:paraId="79567D80" w14:textId="77777777">
        <w:tc>
          <w:tcPr>
            <w:tcW w:w="2618" w:type="dxa"/>
          </w:tcPr>
          <w:p w14:paraId="05491C82" w14:textId="74CC242C" w:rsidR="0074746A" w:rsidRDefault="000A7997">
            <w:pPr>
              <w:rPr>
                <w:rFonts w:asciiTheme="minorHAnsi" w:hAnsiTheme="minorHAnsi"/>
                <w:sz w:val="22"/>
                <w:szCs w:val="22"/>
              </w:rPr>
            </w:pPr>
            <w:r>
              <w:t>“…develop the skills, knowledge, and attitudes essential for successful living and active concerned citizenship.”</w:t>
            </w:r>
          </w:p>
        </w:tc>
        <w:tc>
          <w:tcPr>
            <w:tcW w:w="2710" w:type="dxa"/>
          </w:tcPr>
          <w:p w14:paraId="60D76531" w14:textId="1DEDDBB5" w:rsidR="0074746A" w:rsidRDefault="000A7997">
            <w:pPr>
              <w:rPr>
                <w:rFonts w:asciiTheme="minorHAnsi" w:hAnsiTheme="minorHAnsi"/>
                <w:sz w:val="22"/>
                <w:szCs w:val="22"/>
              </w:rPr>
            </w:pPr>
            <w:r>
              <w:t>The B.A. degree in anthropology provides appropriate knowledge, values, and analytic skills for active informed citizenship.</w:t>
            </w:r>
          </w:p>
        </w:tc>
        <w:tc>
          <w:tcPr>
            <w:tcW w:w="3672" w:type="dxa"/>
          </w:tcPr>
          <w:p w14:paraId="4251EAF5" w14:textId="69054028" w:rsidR="0074746A" w:rsidRDefault="000A7997">
            <w:pPr>
              <w:rPr>
                <w:rFonts w:asciiTheme="minorHAnsi" w:hAnsiTheme="minorHAnsi"/>
                <w:sz w:val="22"/>
                <w:szCs w:val="22"/>
              </w:rPr>
            </w:pPr>
            <w:r>
              <w:t>Anthropology majors gain appropriate knowledge and analytic skills to pre</w:t>
            </w:r>
            <w:r w:rsidR="003A3E2F">
              <w:t>pare them for successful living</w:t>
            </w:r>
            <w:r>
              <w:t>, and active concerned citizenship.</w:t>
            </w:r>
          </w:p>
        </w:tc>
        <w:tc>
          <w:tcPr>
            <w:tcW w:w="4050" w:type="dxa"/>
          </w:tcPr>
          <w:p w14:paraId="5BAF90E5" w14:textId="291E6244" w:rsidR="0074746A" w:rsidRDefault="0021747C">
            <w:pPr>
              <w:rPr>
                <w:rFonts w:asciiTheme="minorHAnsi" w:hAnsiTheme="minorHAnsi"/>
                <w:sz w:val="22"/>
                <w:szCs w:val="22"/>
              </w:rPr>
            </w:pPr>
            <w:r>
              <w:t>Graduating majors will take a questionnaire to address student perceptions of knowledge, skills, and values useful for informed citizenship they gained from majoring in anthropology</w:t>
            </w:r>
          </w:p>
        </w:tc>
      </w:tr>
    </w:tbl>
    <w:p w14:paraId="06198F50" w14:textId="77777777" w:rsidR="003B3C4E" w:rsidRPr="00273E8D" w:rsidRDefault="003B3C4E">
      <w:pPr>
        <w:rPr>
          <w:rFonts w:asciiTheme="minorHAnsi" w:hAnsiTheme="minorHAnsi"/>
          <w:sz w:val="22"/>
          <w:szCs w:val="22"/>
        </w:rPr>
      </w:pPr>
    </w:p>
    <w:p w14:paraId="1D9BB4A0" w14:textId="77777777" w:rsidR="000B5E98" w:rsidRPr="00300AB3" w:rsidRDefault="000B5E98" w:rsidP="000B5E98">
      <w:pPr>
        <w:rPr>
          <w:rFonts w:asciiTheme="minorHAnsi" w:hAnsiTheme="minorHAnsi"/>
          <w:b/>
          <w:sz w:val="22"/>
          <w:szCs w:val="22"/>
        </w:rPr>
      </w:pPr>
    </w:p>
    <w:p w14:paraId="796D1951" w14:textId="77777777"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14:paraId="6971254B"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14:paraId="2DB1B453" w14:textId="77777777">
        <w:tc>
          <w:tcPr>
            <w:tcW w:w="6588" w:type="dxa"/>
          </w:tcPr>
          <w:p w14:paraId="34B0AB9A"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78B4085C"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594C64EA" w14:textId="77777777">
        <w:tc>
          <w:tcPr>
            <w:tcW w:w="6588" w:type="dxa"/>
          </w:tcPr>
          <w:p w14:paraId="155F9438" w14:textId="5F6EF56C" w:rsidR="001C676A" w:rsidRDefault="003A3E2F" w:rsidP="001C676A">
            <w:pPr>
              <w:rPr>
                <w:rFonts w:asciiTheme="minorHAnsi" w:hAnsiTheme="minorHAnsi"/>
                <w:sz w:val="22"/>
                <w:szCs w:val="22"/>
              </w:rPr>
            </w:pPr>
            <w:r>
              <w:rPr>
                <w:rFonts w:asciiTheme="minorHAnsi" w:hAnsiTheme="minorHAnsi"/>
                <w:sz w:val="22"/>
                <w:szCs w:val="22"/>
              </w:rPr>
              <w:t>All tenure-track anthropology faculty</w:t>
            </w:r>
          </w:p>
        </w:tc>
        <w:tc>
          <w:tcPr>
            <w:tcW w:w="6588" w:type="dxa"/>
          </w:tcPr>
          <w:p w14:paraId="3D84F0A2" w14:textId="540C4EF7" w:rsidR="001C676A" w:rsidRDefault="003A3E2F" w:rsidP="003A3E2F">
            <w:pPr>
              <w:rPr>
                <w:rFonts w:asciiTheme="minorHAnsi" w:hAnsiTheme="minorHAnsi"/>
                <w:sz w:val="22"/>
                <w:szCs w:val="22"/>
              </w:rPr>
            </w:pPr>
            <w:r>
              <w:rPr>
                <w:rFonts w:asciiTheme="minorHAnsi" w:hAnsiTheme="minorHAnsi"/>
                <w:sz w:val="22"/>
                <w:szCs w:val="22"/>
              </w:rPr>
              <w:t>In AN 470 Prof. Jon Carroll administers the two essay questionnaires</w:t>
            </w:r>
          </w:p>
          <w:p w14:paraId="7513A2CB" w14:textId="0D38B1C5" w:rsidR="003A3E2F" w:rsidRDefault="003A3E2F" w:rsidP="003A3E2F">
            <w:pPr>
              <w:rPr>
                <w:rFonts w:asciiTheme="minorHAnsi" w:hAnsiTheme="minorHAnsi"/>
                <w:sz w:val="22"/>
                <w:szCs w:val="22"/>
              </w:rPr>
            </w:pPr>
            <w:r>
              <w:rPr>
                <w:rFonts w:asciiTheme="minorHAnsi" w:hAnsiTheme="minorHAnsi"/>
                <w:sz w:val="22"/>
                <w:szCs w:val="22"/>
              </w:rPr>
              <w:t xml:space="preserve">Chair of the Anthropology Assessment and General Education </w:t>
            </w:r>
            <w:r>
              <w:rPr>
                <w:rFonts w:asciiTheme="minorHAnsi" w:hAnsiTheme="minorHAnsi"/>
                <w:sz w:val="22"/>
                <w:szCs w:val="22"/>
              </w:rPr>
              <w:lastRenderedPageBreak/>
              <w:t>committee, Suzanne Spencer-Wood, supervised</w:t>
            </w:r>
            <w:r w:rsidR="00183399">
              <w:rPr>
                <w:rFonts w:asciiTheme="minorHAnsi" w:hAnsiTheme="minorHAnsi"/>
                <w:sz w:val="22"/>
                <w:szCs w:val="22"/>
              </w:rPr>
              <w:t xml:space="preserve"> student</w:t>
            </w:r>
            <w:r>
              <w:rPr>
                <w:rFonts w:asciiTheme="minorHAnsi" w:hAnsiTheme="minorHAnsi"/>
                <w:sz w:val="22"/>
                <w:szCs w:val="22"/>
              </w:rPr>
              <w:t xml:space="preserve"> Kailey McAlpin’s content analysis of the questionnaires, paid </w:t>
            </w:r>
            <w:r w:rsidR="001C272A">
              <w:rPr>
                <w:rFonts w:asciiTheme="minorHAnsi" w:hAnsiTheme="minorHAnsi"/>
                <w:sz w:val="22"/>
                <w:szCs w:val="22"/>
              </w:rPr>
              <w:t>for with</w:t>
            </w:r>
            <w:bookmarkStart w:id="0" w:name="_GoBack"/>
            <w:bookmarkEnd w:id="0"/>
            <w:r>
              <w:rPr>
                <w:rFonts w:asciiTheme="minorHAnsi" w:hAnsiTheme="minorHAnsi"/>
                <w:sz w:val="22"/>
                <w:szCs w:val="22"/>
              </w:rPr>
              <w:t xml:space="preserve"> a $500 grant from the university assessment committee.</w:t>
            </w:r>
          </w:p>
          <w:p w14:paraId="0EC5E770" w14:textId="139BB039" w:rsidR="003A3E2F" w:rsidRDefault="003A3E2F" w:rsidP="003A3E2F">
            <w:pPr>
              <w:rPr>
                <w:rFonts w:asciiTheme="minorHAnsi" w:hAnsiTheme="minorHAnsi"/>
                <w:sz w:val="22"/>
                <w:szCs w:val="22"/>
              </w:rPr>
            </w:pPr>
            <w:r>
              <w:rPr>
                <w:rFonts w:asciiTheme="minorHAnsi" w:hAnsiTheme="minorHAnsi"/>
                <w:sz w:val="22"/>
                <w:szCs w:val="22"/>
              </w:rPr>
              <w:t>Suzanne Spencer-Wood filled out the anthropology assessment report and the</w:t>
            </w:r>
            <w:r w:rsidR="00792048">
              <w:rPr>
                <w:rFonts w:asciiTheme="minorHAnsi" w:hAnsiTheme="minorHAnsi"/>
                <w:sz w:val="22"/>
                <w:szCs w:val="22"/>
              </w:rPr>
              <w:t xml:space="preserve"> other tenure-track anthropology faculty approved or revised it</w:t>
            </w:r>
          </w:p>
        </w:tc>
      </w:tr>
    </w:tbl>
    <w:p w14:paraId="62C84BCF" w14:textId="0D5947C0" w:rsidR="00F55124" w:rsidRPr="001C676A" w:rsidRDefault="00F55124" w:rsidP="001C676A">
      <w:pPr>
        <w:rPr>
          <w:rFonts w:asciiTheme="minorHAnsi" w:hAnsiTheme="minorHAnsi"/>
          <w:b/>
          <w:sz w:val="22"/>
          <w:szCs w:val="22"/>
        </w:rPr>
      </w:pPr>
      <w:r w:rsidRPr="001C676A">
        <w:rPr>
          <w:rFonts w:asciiTheme="minorHAnsi" w:hAnsiTheme="minorHAnsi"/>
          <w:sz w:val="22"/>
          <w:szCs w:val="22"/>
        </w:rPr>
        <w:lastRenderedPageBreak/>
        <w:t xml:space="preserve"> </w:t>
      </w:r>
    </w:p>
    <w:p w14:paraId="39112622" w14:textId="77777777" w:rsidR="00F55124" w:rsidRDefault="00F55124" w:rsidP="000B5E98">
      <w:pPr>
        <w:ind w:left="360" w:hanging="360"/>
        <w:rPr>
          <w:rFonts w:asciiTheme="minorHAnsi" w:hAnsiTheme="minorHAnsi"/>
          <w:b/>
          <w:sz w:val="22"/>
          <w:szCs w:val="22"/>
        </w:rPr>
      </w:pPr>
    </w:p>
    <w:p w14:paraId="61F0A956" w14:textId="77777777"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689D30EA" w14:textId="39383991"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r w:rsidR="00317F14">
        <w:rPr>
          <w:rFonts w:asciiTheme="minorHAnsi" w:hAnsiTheme="minorHAnsi"/>
          <w:sz w:val="22"/>
          <w:szCs w:val="22"/>
        </w:rPr>
        <w:t xml:space="preserve"> </w:t>
      </w:r>
      <w:r w:rsidR="00317F14">
        <w:rPr>
          <w:rFonts w:asciiTheme="minorHAnsi" w:hAnsiTheme="minorHAnsi"/>
          <w:sz w:val="22"/>
          <w:szCs w:val="22"/>
        </w:rPr>
        <w:t>Chair of the Anthropology Assessment and General Education committee, Suzanne Spencer-Wood, supervised</w:t>
      </w:r>
      <w:r w:rsidR="00183399">
        <w:rPr>
          <w:rFonts w:asciiTheme="minorHAnsi" w:hAnsiTheme="minorHAnsi"/>
          <w:sz w:val="22"/>
          <w:szCs w:val="22"/>
        </w:rPr>
        <w:t xml:space="preserve"> student</w:t>
      </w:r>
      <w:r w:rsidR="00317F14">
        <w:rPr>
          <w:rFonts w:asciiTheme="minorHAnsi" w:hAnsiTheme="minorHAnsi"/>
          <w:sz w:val="22"/>
          <w:szCs w:val="22"/>
        </w:rPr>
        <w:t xml:space="preserve"> Kailey McAlpin’s content analysis of the questionnaires, paid </w:t>
      </w:r>
      <w:r w:rsidR="001C272A">
        <w:rPr>
          <w:rFonts w:asciiTheme="minorHAnsi" w:hAnsiTheme="minorHAnsi"/>
          <w:sz w:val="22"/>
          <w:szCs w:val="22"/>
        </w:rPr>
        <w:t>for with</w:t>
      </w:r>
      <w:r w:rsidR="00317F14">
        <w:rPr>
          <w:rFonts w:asciiTheme="minorHAnsi" w:hAnsiTheme="minorHAnsi"/>
          <w:sz w:val="22"/>
          <w:szCs w:val="22"/>
        </w:rPr>
        <w:t xml:space="preserve"> a $500 grant from the univ</w:t>
      </w:r>
      <w:r w:rsidR="00317F14">
        <w:rPr>
          <w:rFonts w:asciiTheme="minorHAnsi" w:hAnsiTheme="minorHAnsi"/>
          <w:sz w:val="22"/>
          <w:szCs w:val="22"/>
        </w:rPr>
        <w:t>ersity assessment committee.</w:t>
      </w:r>
    </w:p>
    <w:p w14:paraId="716A77B1" w14:textId="77777777" w:rsidR="004E192A" w:rsidRDefault="004E192A" w:rsidP="004E192A">
      <w:pPr>
        <w:rPr>
          <w:rFonts w:asciiTheme="minorHAnsi" w:hAnsiTheme="minorHAnsi"/>
          <w:sz w:val="22"/>
          <w:szCs w:val="22"/>
        </w:rPr>
      </w:pPr>
    </w:p>
    <w:p w14:paraId="1C7EB6B7" w14:textId="2A469F81"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r w:rsidR="00317F14">
        <w:rPr>
          <w:rFonts w:asciiTheme="minorHAnsi" w:hAnsiTheme="minorHAnsi"/>
          <w:sz w:val="22"/>
          <w:szCs w:val="22"/>
        </w:rPr>
        <w:t xml:space="preserve"> We will redesign our assessment plan to fit our goals and outcomes for all majors, de-emphasizing archaeology. </w:t>
      </w:r>
    </w:p>
    <w:p w14:paraId="4434563C" w14:textId="77777777" w:rsidR="00B4215E" w:rsidRPr="00300AB3" w:rsidRDefault="00B4215E">
      <w:pPr>
        <w:rPr>
          <w:rFonts w:asciiTheme="minorHAnsi" w:hAnsiTheme="minorHAnsi"/>
          <w:b/>
          <w:sz w:val="22"/>
          <w:szCs w:val="22"/>
        </w:rPr>
      </w:pPr>
    </w:p>
    <w:p w14:paraId="26DD07C7" w14:textId="77777777" w:rsidR="00D71774" w:rsidRPr="00D71774" w:rsidRDefault="00D71774" w:rsidP="00D71774">
      <w:pPr>
        <w:pStyle w:val="ListParagraph"/>
        <w:rPr>
          <w:rFonts w:asciiTheme="minorHAnsi" w:hAnsiTheme="minorHAnsi"/>
          <w:sz w:val="22"/>
          <w:szCs w:val="22"/>
        </w:rPr>
      </w:pPr>
    </w:p>
    <w:p w14:paraId="088017D1"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351E5B15"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1"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4A00" w14:textId="77777777" w:rsidR="003A3E2F" w:rsidRDefault="003A3E2F">
      <w:r>
        <w:separator/>
      </w:r>
    </w:p>
  </w:endnote>
  <w:endnote w:type="continuationSeparator" w:id="0">
    <w:p w14:paraId="7654E976" w14:textId="77777777" w:rsidR="003A3E2F" w:rsidRDefault="003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AD25" w14:textId="77777777" w:rsidR="003A3E2F" w:rsidRDefault="003A3E2F"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01234ACC" w14:textId="77777777" w:rsidR="003A3E2F" w:rsidRDefault="003A3E2F"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0A45" w14:textId="77777777" w:rsidR="003A3E2F" w:rsidRDefault="003A3E2F">
      <w:r>
        <w:separator/>
      </w:r>
    </w:p>
  </w:footnote>
  <w:footnote w:type="continuationSeparator" w:id="0">
    <w:p w14:paraId="79D05736" w14:textId="77777777" w:rsidR="003A3E2F" w:rsidRDefault="003A3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2EFC"/>
    <w:rsid w:val="000A7997"/>
    <w:rsid w:val="000B5E98"/>
    <w:rsid w:val="001058D2"/>
    <w:rsid w:val="00110988"/>
    <w:rsid w:val="00155E4D"/>
    <w:rsid w:val="001676AE"/>
    <w:rsid w:val="00183399"/>
    <w:rsid w:val="001B05A8"/>
    <w:rsid w:val="001C272A"/>
    <w:rsid w:val="001C676A"/>
    <w:rsid w:val="0021747C"/>
    <w:rsid w:val="002267F2"/>
    <w:rsid w:val="00273E8D"/>
    <w:rsid w:val="002B049B"/>
    <w:rsid w:val="00300AB3"/>
    <w:rsid w:val="00317F14"/>
    <w:rsid w:val="00362E94"/>
    <w:rsid w:val="00385C4D"/>
    <w:rsid w:val="00393BFF"/>
    <w:rsid w:val="00394480"/>
    <w:rsid w:val="003A3E2F"/>
    <w:rsid w:val="003B3C4E"/>
    <w:rsid w:val="003C5462"/>
    <w:rsid w:val="003E0361"/>
    <w:rsid w:val="003F3547"/>
    <w:rsid w:val="00434327"/>
    <w:rsid w:val="00475C04"/>
    <w:rsid w:val="004C3387"/>
    <w:rsid w:val="004D5069"/>
    <w:rsid w:val="004E192A"/>
    <w:rsid w:val="00513ED8"/>
    <w:rsid w:val="00567C77"/>
    <w:rsid w:val="00593215"/>
    <w:rsid w:val="005D66ED"/>
    <w:rsid w:val="00601E9E"/>
    <w:rsid w:val="0074746A"/>
    <w:rsid w:val="00752DA9"/>
    <w:rsid w:val="00792048"/>
    <w:rsid w:val="00824BDE"/>
    <w:rsid w:val="00833F0C"/>
    <w:rsid w:val="009D43F3"/>
    <w:rsid w:val="00A441F9"/>
    <w:rsid w:val="00A708B8"/>
    <w:rsid w:val="00A8492E"/>
    <w:rsid w:val="00AA394F"/>
    <w:rsid w:val="00AD1FAB"/>
    <w:rsid w:val="00B34CC1"/>
    <w:rsid w:val="00B4215E"/>
    <w:rsid w:val="00B80275"/>
    <w:rsid w:val="00BB6AD5"/>
    <w:rsid w:val="00C22B04"/>
    <w:rsid w:val="00C768B0"/>
    <w:rsid w:val="00CC0E1E"/>
    <w:rsid w:val="00CC3048"/>
    <w:rsid w:val="00CF69E3"/>
    <w:rsid w:val="00D71774"/>
    <w:rsid w:val="00D91C4D"/>
    <w:rsid w:val="00E518D0"/>
    <w:rsid w:val="00EC2C85"/>
    <w:rsid w:val="00EF7DA9"/>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rnes@oakland.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nes@oakland.edu" TargetMode="External"/><Relationship Id="rId9" Type="http://schemas.openxmlformats.org/officeDocument/2006/relationships/hyperlink" Target="http://www.oakland.edu/OIRA" TargetMode="External"/><Relationship Id="rId10"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4907</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Suzanne Spencer-Wood</cp:lastModifiedBy>
  <cp:revision>6</cp:revision>
  <cp:lastPrinted>2008-02-04T14:29:00Z</cp:lastPrinted>
  <dcterms:created xsi:type="dcterms:W3CDTF">2014-12-18T16:21:00Z</dcterms:created>
  <dcterms:modified xsi:type="dcterms:W3CDTF">2014-12-18T16:41:00Z</dcterms:modified>
</cp:coreProperties>
</file>