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0B" w:rsidRPr="003C40F1" w:rsidRDefault="00694929" w:rsidP="003C40F1">
      <w:pPr>
        <w:ind w:left="-360" w:right="-360"/>
        <w:jc w:val="both"/>
      </w:pPr>
      <w:bookmarkStart w:id="0" w:name="_GoBack"/>
      <w:bookmarkEnd w:id="0"/>
      <w:r w:rsidRPr="003C40F1">
        <w:t>This chart provides a general overview of the taxability of va</w:t>
      </w:r>
      <w:r w:rsidR="00D81901">
        <w:t>rious types of tuition waiver</w:t>
      </w:r>
      <w:r w:rsidRPr="003C40F1">
        <w:t>. It does not constitute tax advice. Each employee o</w:t>
      </w:r>
      <w:r w:rsidR="00D81901">
        <w:t>r recipient of tuition waiver</w:t>
      </w:r>
      <w:r w:rsidRPr="003C40F1">
        <w:t xml:space="preserve"> is strongly encouraged to discuss all questions related to tax liability with her or his tax advisor.</w:t>
      </w:r>
      <w:r w:rsidR="00EA5B9C" w:rsidRPr="003C40F1">
        <w:t xml:space="preserve"> See also </w:t>
      </w:r>
      <w:hyperlink r:id="rId8" w:history="1">
        <w:r w:rsidR="00EA5B9C" w:rsidRPr="003C40F1">
          <w:rPr>
            <w:rStyle w:val="Hyperlink"/>
          </w:rPr>
          <w:t>www.irs.gov/index.html/</w:t>
        </w:r>
      </w:hyperlink>
    </w:p>
    <w:tbl>
      <w:tblPr>
        <w:tblStyle w:val="TableGrid"/>
        <w:tblpPr w:leftFromText="180" w:rightFromText="180" w:vertAnchor="page" w:horzAnchor="margin" w:tblpXSpec="center" w:tblpY="1929"/>
        <w:tblW w:w="11538" w:type="dxa"/>
        <w:tblLook w:val="04A0" w:firstRow="1" w:lastRow="0" w:firstColumn="1" w:lastColumn="0" w:noHBand="0" w:noVBand="1"/>
      </w:tblPr>
      <w:tblGrid>
        <w:gridCol w:w="3420"/>
        <w:gridCol w:w="1710"/>
        <w:gridCol w:w="2610"/>
        <w:gridCol w:w="3798"/>
      </w:tblGrid>
      <w:tr w:rsidR="00D178F2" w:rsidRPr="0029727B" w:rsidTr="00D178F2">
        <w:tc>
          <w:tcPr>
            <w:tcW w:w="3420" w:type="dxa"/>
            <w:vAlign w:val="center"/>
          </w:tcPr>
          <w:p w:rsidR="00D178F2" w:rsidRPr="0029727B" w:rsidRDefault="00D178F2" w:rsidP="00D17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IS THE STUDENT</w:t>
            </w:r>
          </w:p>
        </w:tc>
        <w:tc>
          <w:tcPr>
            <w:tcW w:w="1710" w:type="dxa"/>
            <w:vAlign w:val="center"/>
          </w:tcPr>
          <w:p w:rsidR="00D178F2" w:rsidRPr="0029727B" w:rsidRDefault="00D178F2" w:rsidP="00D178F2">
            <w:pPr>
              <w:jc w:val="center"/>
              <w:rPr>
                <w:b/>
                <w:sz w:val="20"/>
                <w:szCs w:val="20"/>
              </w:rPr>
            </w:pPr>
            <w:r w:rsidRPr="0029727B">
              <w:rPr>
                <w:b/>
                <w:sz w:val="20"/>
                <w:szCs w:val="20"/>
              </w:rPr>
              <w:t>UNDERGRAD</w:t>
            </w:r>
          </w:p>
          <w:p w:rsidR="00D178F2" w:rsidRPr="0029727B" w:rsidRDefault="00D178F2" w:rsidP="00D178F2">
            <w:pPr>
              <w:jc w:val="center"/>
              <w:rPr>
                <w:b/>
                <w:sz w:val="20"/>
                <w:szCs w:val="20"/>
              </w:rPr>
            </w:pPr>
            <w:r w:rsidRPr="0029727B">
              <w:rPr>
                <w:b/>
                <w:sz w:val="20"/>
                <w:szCs w:val="20"/>
              </w:rPr>
              <w:t>OR</w:t>
            </w:r>
          </w:p>
          <w:p w:rsidR="00D178F2" w:rsidRPr="0029727B" w:rsidRDefault="00D178F2" w:rsidP="00D17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GRADUATE</w:t>
            </w:r>
          </w:p>
        </w:tc>
        <w:tc>
          <w:tcPr>
            <w:tcW w:w="2610" w:type="dxa"/>
          </w:tcPr>
          <w:p w:rsidR="00D178F2" w:rsidRPr="0029727B" w:rsidRDefault="00D178F2" w:rsidP="00D178F2">
            <w:pPr>
              <w:jc w:val="center"/>
              <w:rPr>
                <w:b/>
                <w:sz w:val="20"/>
                <w:szCs w:val="20"/>
              </w:rPr>
            </w:pPr>
            <w:r w:rsidRPr="0029727B">
              <w:rPr>
                <w:b/>
                <w:sz w:val="20"/>
                <w:szCs w:val="20"/>
              </w:rPr>
              <w:t xml:space="preserve">TAXABLE </w:t>
            </w:r>
          </w:p>
          <w:p w:rsidR="00D178F2" w:rsidRPr="0029727B" w:rsidRDefault="00D178F2" w:rsidP="00D178F2">
            <w:pPr>
              <w:jc w:val="center"/>
              <w:rPr>
                <w:b/>
                <w:sz w:val="20"/>
                <w:szCs w:val="20"/>
              </w:rPr>
            </w:pPr>
            <w:r w:rsidRPr="0029727B">
              <w:rPr>
                <w:b/>
                <w:sz w:val="20"/>
                <w:szCs w:val="20"/>
              </w:rPr>
              <w:t>OR</w:t>
            </w:r>
          </w:p>
          <w:p w:rsidR="00D178F2" w:rsidRPr="0029727B" w:rsidRDefault="00D178F2" w:rsidP="00D178F2">
            <w:pPr>
              <w:jc w:val="center"/>
              <w:rPr>
                <w:b/>
                <w:sz w:val="20"/>
                <w:szCs w:val="20"/>
              </w:rPr>
            </w:pPr>
            <w:r w:rsidRPr="0029727B">
              <w:rPr>
                <w:b/>
                <w:sz w:val="20"/>
                <w:szCs w:val="20"/>
              </w:rPr>
              <w:t>NOT TAXABLE</w:t>
            </w:r>
          </w:p>
          <w:p w:rsidR="00D178F2" w:rsidRPr="0029727B" w:rsidRDefault="00D178F2" w:rsidP="00D17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FEDERAL INCOME TAX</w:t>
            </w:r>
          </w:p>
        </w:tc>
        <w:tc>
          <w:tcPr>
            <w:tcW w:w="3798" w:type="dxa"/>
            <w:vAlign w:val="center"/>
          </w:tcPr>
          <w:p w:rsidR="00D178F2" w:rsidRPr="0029727B" w:rsidRDefault="00D178F2" w:rsidP="00D178F2">
            <w:pPr>
              <w:rPr>
                <w:b/>
                <w:sz w:val="20"/>
                <w:szCs w:val="20"/>
              </w:rPr>
            </w:pPr>
          </w:p>
          <w:p w:rsidR="00D178F2" w:rsidRPr="0029727B" w:rsidRDefault="00D178F2" w:rsidP="00D178F2">
            <w:pPr>
              <w:jc w:val="center"/>
              <w:rPr>
                <w:b/>
                <w:sz w:val="20"/>
                <w:szCs w:val="20"/>
              </w:rPr>
            </w:pPr>
            <w:r w:rsidRPr="0029727B">
              <w:rPr>
                <w:b/>
                <w:sz w:val="20"/>
                <w:szCs w:val="20"/>
              </w:rPr>
              <w:t>NOTES</w:t>
            </w:r>
          </w:p>
        </w:tc>
      </w:tr>
      <w:tr w:rsidR="00D178F2" w:rsidRPr="0029727B" w:rsidTr="000F2A9C">
        <w:tc>
          <w:tcPr>
            <w:tcW w:w="3420" w:type="dxa"/>
          </w:tcPr>
          <w:p w:rsidR="00D178F2" w:rsidRPr="0029727B" w:rsidRDefault="00D178F2" w:rsidP="00D178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29727B"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-Faculty/Staff</w:t>
            </w:r>
          </w:p>
        </w:tc>
        <w:tc>
          <w:tcPr>
            <w:tcW w:w="1710" w:type="dxa"/>
          </w:tcPr>
          <w:p w:rsidR="00D178F2" w:rsidRDefault="00D178F2" w:rsidP="00D178F2">
            <w:pPr>
              <w:jc w:val="center"/>
              <w:rPr>
                <w:sz w:val="20"/>
                <w:szCs w:val="20"/>
              </w:rPr>
            </w:pPr>
            <w:r w:rsidRPr="0029727B">
              <w:rPr>
                <w:sz w:val="20"/>
                <w:szCs w:val="20"/>
              </w:rPr>
              <w:t>Undergraduate</w:t>
            </w:r>
          </w:p>
          <w:p w:rsidR="00D178F2" w:rsidRDefault="00D178F2" w:rsidP="00D178F2">
            <w:pPr>
              <w:jc w:val="center"/>
              <w:rPr>
                <w:sz w:val="20"/>
                <w:szCs w:val="20"/>
              </w:rPr>
            </w:pPr>
          </w:p>
          <w:p w:rsidR="00D178F2" w:rsidRDefault="00D178F2" w:rsidP="00D1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</w:t>
            </w:r>
          </w:p>
          <w:p w:rsidR="00D178F2" w:rsidRPr="0029727B" w:rsidRDefault="00D178F2" w:rsidP="00D1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</w:t>
            </w:r>
          </w:p>
        </w:tc>
        <w:tc>
          <w:tcPr>
            <w:tcW w:w="2610" w:type="dxa"/>
          </w:tcPr>
          <w:p w:rsidR="00D178F2" w:rsidRPr="0029727B" w:rsidRDefault="00D178F2" w:rsidP="00D178F2">
            <w:pPr>
              <w:jc w:val="center"/>
              <w:rPr>
                <w:sz w:val="20"/>
                <w:szCs w:val="20"/>
              </w:rPr>
            </w:pPr>
            <w:r w:rsidRPr="0029727B">
              <w:rPr>
                <w:sz w:val="20"/>
                <w:szCs w:val="20"/>
              </w:rPr>
              <w:t>Not Taxable</w:t>
            </w:r>
          </w:p>
          <w:p w:rsidR="00D178F2" w:rsidRDefault="00D178F2" w:rsidP="00D178F2">
            <w:pPr>
              <w:jc w:val="center"/>
              <w:rPr>
                <w:sz w:val="20"/>
                <w:szCs w:val="20"/>
              </w:rPr>
            </w:pPr>
            <w:r w:rsidRPr="0029727B">
              <w:rPr>
                <w:sz w:val="20"/>
                <w:szCs w:val="20"/>
              </w:rPr>
              <w:t>IRS Sec 117(d)</w:t>
            </w:r>
          </w:p>
          <w:p w:rsidR="00D178F2" w:rsidRDefault="00D178F2" w:rsidP="00D1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</w:t>
            </w:r>
          </w:p>
          <w:p w:rsidR="000F2A9C" w:rsidRDefault="000F2A9C" w:rsidP="000F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Annually, </w:t>
            </w:r>
            <w:r w:rsidR="00163D70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f</w:t>
            </w:r>
            <w:r w:rsidR="00D178F2" w:rsidRPr="0029727B">
              <w:rPr>
                <w:sz w:val="20"/>
                <w:szCs w:val="20"/>
              </w:rPr>
              <w:t xml:space="preserve">irst $5,250 is Not-Taxable. </w:t>
            </w:r>
            <w:r w:rsidR="00D178F2" w:rsidRPr="0029727B">
              <w:rPr>
                <w:b/>
                <w:sz w:val="20"/>
                <w:szCs w:val="20"/>
              </w:rPr>
              <w:t>Any amount over $5,250 is TAXABLE</w:t>
            </w:r>
            <w:r w:rsidR="00D178F2" w:rsidRPr="0029727B">
              <w:rPr>
                <w:sz w:val="20"/>
                <w:szCs w:val="20"/>
              </w:rPr>
              <w:t xml:space="preserve"> </w:t>
            </w:r>
          </w:p>
          <w:p w:rsidR="00D178F2" w:rsidRPr="0029727B" w:rsidRDefault="00D178F2" w:rsidP="000F2A9C">
            <w:pPr>
              <w:jc w:val="center"/>
              <w:rPr>
                <w:sz w:val="20"/>
                <w:szCs w:val="20"/>
              </w:rPr>
            </w:pPr>
            <w:r w:rsidRPr="0029727B">
              <w:rPr>
                <w:sz w:val="20"/>
                <w:szCs w:val="20"/>
              </w:rPr>
              <w:t>IRS Sec 127</w:t>
            </w:r>
          </w:p>
        </w:tc>
        <w:tc>
          <w:tcPr>
            <w:tcW w:w="3798" w:type="dxa"/>
            <w:vAlign w:val="center"/>
          </w:tcPr>
          <w:p w:rsidR="00D178F2" w:rsidRPr="0029727B" w:rsidRDefault="000F2A9C" w:rsidP="000F2A9C">
            <w:pPr>
              <w:jc w:val="center"/>
              <w:rPr>
                <w:sz w:val="20"/>
                <w:szCs w:val="20"/>
              </w:rPr>
            </w:pPr>
            <w:r w:rsidRPr="0029727B">
              <w:rPr>
                <w:sz w:val="20"/>
                <w:szCs w:val="20"/>
              </w:rPr>
              <w:t>Federal law determines the federal tax treatment</w:t>
            </w:r>
            <w:r>
              <w:rPr>
                <w:sz w:val="20"/>
                <w:szCs w:val="20"/>
              </w:rPr>
              <w:t xml:space="preserve"> of tuition benefits for employees</w:t>
            </w:r>
            <w:r w:rsidRPr="0029727B">
              <w:rPr>
                <w:sz w:val="20"/>
                <w:szCs w:val="20"/>
              </w:rPr>
              <w:t>.</w:t>
            </w:r>
          </w:p>
        </w:tc>
      </w:tr>
      <w:tr w:rsidR="00D178F2" w:rsidRPr="0029727B" w:rsidTr="00866B98">
        <w:tc>
          <w:tcPr>
            <w:tcW w:w="3420" w:type="dxa"/>
          </w:tcPr>
          <w:p w:rsidR="00D178F2" w:rsidRPr="0029727B" w:rsidRDefault="00D178F2" w:rsidP="00D178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29727B">
              <w:rPr>
                <w:b/>
                <w:sz w:val="20"/>
                <w:szCs w:val="20"/>
              </w:rPr>
              <w:t>)</w:t>
            </w:r>
            <w:r w:rsidRPr="0029727B">
              <w:rPr>
                <w:sz w:val="20"/>
                <w:szCs w:val="20"/>
              </w:rPr>
              <w:t xml:space="preserve">-Spouse (legally recognized </w:t>
            </w:r>
            <w:r>
              <w:rPr>
                <w:sz w:val="20"/>
                <w:szCs w:val="20"/>
              </w:rPr>
              <w:t>by f</w:t>
            </w:r>
            <w:r w:rsidRPr="0029727B">
              <w:rPr>
                <w:sz w:val="20"/>
                <w:szCs w:val="20"/>
              </w:rPr>
              <w:t xml:space="preserve">ederal </w:t>
            </w:r>
            <w:r>
              <w:rPr>
                <w:sz w:val="20"/>
                <w:szCs w:val="20"/>
              </w:rPr>
              <w:t xml:space="preserve">tax </w:t>
            </w:r>
            <w:r w:rsidRPr="0029727B">
              <w:rPr>
                <w:sz w:val="20"/>
                <w:szCs w:val="20"/>
              </w:rPr>
              <w:t>law)</w:t>
            </w:r>
            <w:r w:rsidR="00D81901">
              <w:rPr>
                <w:sz w:val="20"/>
                <w:szCs w:val="20"/>
              </w:rPr>
              <w:t xml:space="preserve"> or widow/</w:t>
            </w:r>
            <w:proofErr w:type="spellStart"/>
            <w:r w:rsidR="00D81901">
              <w:rPr>
                <w:sz w:val="20"/>
                <w:szCs w:val="20"/>
              </w:rPr>
              <w:t>er</w:t>
            </w:r>
            <w:proofErr w:type="spellEnd"/>
            <w:r w:rsidR="00D81901">
              <w:rPr>
                <w:sz w:val="20"/>
                <w:szCs w:val="20"/>
              </w:rPr>
              <w:t xml:space="preserve"> (provided faculty</w:t>
            </w:r>
            <w:r>
              <w:rPr>
                <w:sz w:val="20"/>
                <w:szCs w:val="20"/>
              </w:rPr>
              <w:t xml:space="preserve"> died while employed as a full-time faculty member)</w:t>
            </w:r>
          </w:p>
        </w:tc>
        <w:tc>
          <w:tcPr>
            <w:tcW w:w="1710" w:type="dxa"/>
            <w:vAlign w:val="center"/>
          </w:tcPr>
          <w:p w:rsidR="00D178F2" w:rsidRDefault="00D178F2" w:rsidP="00866B98">
            <w:pPr>
              <w:jc w:val="center"/>
              <w:rPr>
                <w:sz w:val="20"/>
                <w:szCs w:val="20"/>
              </w:rPr>
            </w:pPr>
            <w:r w:rsidRPr="0029727B">
              <w:rPr>
                <w:sz w:val="20"/>
                <w:szCs w:val="20"/>
              </w:rPr>
              <w:t>Undergraduate</w:t>
            </w:r>
          </w:p>
          <w:p w:rsidR="00D178F2" w:rsidRDefault="00D178F2" w:rsidP="00866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</w:t>
            </w:r>
          </w:p>
          <w:p w:rsidR="00D178F2" w:rsidRPr="0029727B" w:rsidRDefault="00D178F2" w:rsidP="00866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</w:t>
            </w:r>
          </w:p>
        </w:tc>
        <w:tc>
          <w:tcPr>
            <w:tcW w:w="2610" w:type="dxa"/>
            <w:vAlign w:val="center"/>
          </w:tcPr>
          <w:p w:rsidR="00866B98" w:rsidRDefault="00866B98" w:rsidP="00866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Taxable-IRS Sec 117(d)</w:t>
            </w:r>
          </w:p>
          <w:p w:rsidR="00D178F2" w:rsidRDefault="00D178F2" w:rsidP="00866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</w:t>
            </w:r>
          </w:p>
          <w:p w:rsidR="00D178F2" w:rsidRPr="0029727B" w:rsidRDefault="00D178F2" w:rsidP="00866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Taxable</w:t>
            </w:r>
          </w:p>
        </w:tc>
        <w:tc>
          <w:tcPr>
            <w:tcW w:w="3798" w:type="dxa"/>
            <w:vAlign w:val="center"/>
          </w:tcPr>
          <w:p w:rsidR="00D178F2" w:rsidRPr="0029727B" w:rsidRDefault="00D178F2" w:rsidP="00D178F2">
            <w:pPr>
              <w:jc w:val="center"/>
              <w:rPr>
                <w:sz w:val="20"/>
                <w:szCs w:val="20"/>
              </w:rPr>
            </w:pPr>
            <w:r w:rsidRPr="0029727B">
              <w:rPr>
                <w:sz w:val="20"/>
                <w:szCs w:val="20"/>
              </w:rPr>
              <w:t>Federal law determines the federal tax treatment of tuition benefits for spouses.</w:t>
            </w:r>
          </w:p>
        </w:tc>
      </w:tr>
      <w:tr w:rsidR="00D178F2" w:rsidRPr="0029727B" w:rsidTr="00D178F2">
        <w:tc>
          <w:tcPr>
            <w:tcW w:w="3420" w:type="dxa"/>
          </w:tcPr>
          <w:p w:rsidR="00D178F2" w:rsidRDefault="00D178F2" w:rsidP="00D178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29727B">
              <w:rPr>
                <w:b/>
                <w:sz w:val="20"/>
                <w:szCs w:val="20"/>
              </w:rPr>
              <w:t>)</w:t>
            </w:r>
            <w:r w:rsidRPr="0029727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Other Qualified Adult (OQA) – </w:t>
            </w:r>
          </w:p>
          <w:p w:rsidR="00D178F2" w:rsidRDefault="00D178F2" w:rsidP="00D178F2">
            <w:pPr>
              <w:rPr>
                <w:sz w:val="20"/>
                <w:szCs w:val="20"/>
              </w:rPr>
            </w:pPr>
          </w:p>
          <w:p w:rsidR="00D178F2" w:rsidRPr="0029727B" w:rsidRDefault="00D178F2" w:rsidP="00D17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legally recognized by federal tax law.</w:t>
            </w:r>
          </w:p>
        </w:tc>
        <w:tc>
          <w:tcPr>
            <w:tcW w:w="1710" w:type="dxa"/>
            <w:vAlign w:val="center"/>
          </w:tcPr>
          <w:p w:rsidR="00D178F2" w:rsidRPr="0029727B" w:rsidRDefault="00853B05" w:rsidP="00D1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</w:t>
            </w:r>
          </w:p>
        </w:tc>
        <w:tc>
          <w:tcPr>
            <w:tcW w:w="2610" w:type="dxa"/>
            <w:vAlign w:val="center"/>
          </w:tcPr>
          <w:p w:rsidR="00D178F2" w:rsidRPr="0029727B" w:rsidRDefault="00D178F2" w:rsidP="00D1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Taxable</w:t>
            </w:r>
          </w:p>
        </w:tc>
        <w:tc>
          <w:tcPr>
            <w:tcW w:w="3798" w:type="dxa"/>
          </w:tcPr>
          <w:p w:rsidR="00D178F2" w:rsidRPr="0029727B" w:rsidRDefault="00D178F2" w:rsidP="00D1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extension of tuition</w:t>
            </w:r>
            <w:r w:rsidR="00853B05">
              <w:rPr>
                <w:sz w:val="20"/>
                <w:szCs w:val="20"/>
              </w:rPr>
              <w:t xml:space="preserve"> waiver</w:t>
            </w:r>
            <w:r w:rsidR="00BD2274">
              <w:rPr>
                <w:sz w:val="20"/>
                <w:szCs w:val="20"/>
              </w:rPr>
              <w:t xml:space="preserve"> benefits</w:t>
            </w:r>
            <w:r w:rsidR="00B34E76">
              <w:rPr>
                <w:sz w:val="20"/>
                <w:szCs w:val="20"/>
              </w:rPr>
              <w:t xml:space="preserve"> to an OQA</w:t>
            </w:r>
            <w:r>
              <w:rPr>
                <w:sz w:val="20"/>
                <w:szCs w:val="20"/>
              </w:rPr>
              <w:t xml:space="preserve"> requires the inclusion of the value of such payments in the gross income of the employee to whose benefit such amounts are paid.</w:t>
            </w:r>
          </w:p>
        </w:tc>
      </w:tr>
      <w:tr w:rsidR="00D178F2" w:rsidRPr="0029727B" w:rsidTr="00866B98">
        <w:trPr>
          <w:trHeight w:val="2040"/>
        </w:trPr>
        <w:tc>
          <w:tcPr>
            <w:tcW w:w="3420" w:type="dxa"/>
          </w:tcPr>
          <w:p w:rsidR="00D178F2" w:rsidRPr="0029727B" w:rsidRDefault="00D178F2" w:rsidP="00D178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29727B">
              <w:rPr>
                <w:b/>
                <w:sz w:val="20"/>
                <w:szCs w:val="20"/>
              </w:rPr>
              <w:t>)</w:t>
            </w:r>
            <w:r w:rsidRPr="0029727B">
              <w:rPr>
                <w:sz w:val="20"/>
                <w:szCs w:val="20"/>
              </w:rPr>
              <w:t>-</w:t>
            </w:r>
            <w:r w:rsidRPr="00F6350B">
              <w:rPr>
                <w:sz w:val="20"/>
                <w:szCs w:val="20"/>
              </w:rPr>
              <w:t>FEDERAL TAX DEPENDENT</w:t>
            </w:r>
            <w:r>
              <w:rPr>
                <w:sz w:val="20"/>
                <w:szCs w:val="20"/>
              </w:rPr>
              <w:t xml:space="preserve"> </w:t>
            </w:r>
            <w:r w:rsidRPr="00F6350B">
              <w:rPr>
                <w:sz w:val="20"/>
                <w:szCs w:val="20"/>
              </w:rPr>
              <w:t>WHO IS EMPLOYEE’S:</w:t>
            </w:r>
            <w:r w:rsidRPr="0029727B">
              <w:rPr>
                <w:sz w:val="20"/>
                <w:szCs w:val="20"/>
              </w:rPr>
              <w:t xml:space="preserve"> </w:t>
            </w:r>
          </w:p>
          <w:p w:rsidR="00D178F2" w:rsidRPr="0029727B" w:rsidRDefault="00D178F2" w:rsidP="00D178F2">
            <w:pPr>
              <w:rPr>
                <w:sz w:val="20"/>
                <w:szCs w:val="20"/>
              </w:rPr>
            </w:pPr>
            <w:r w:rsidRPr="0029727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Biological </w:t>
            </w:r>
            <w:r w:rsidRPr="0029727B">
              <w:rPr>
                <w:sz w:val="20"/>
                <w:szCs w:val="20"/>
              </w:rPr>
              <w:t>Daughter/Son</w:t>
            </w:r>
          </w:p>
          <w:p w:rsidR="00D178F2" w:rsidRPr="0029727B" w:rsidRDefault="00D178F2" w:rsidP="00D178F2">
            <w:pPr>
              <w:rPr>
                <w:sz w:val="20"/>
                <w:szCs w:val="20"/>
              </w:rPr>
            </w:pPr>
            <w:r w:rsidRPr="0029727B">
              <w:rPr>
                <w:sz w:val="20"/>
                <w:szCs w:val="20"/>
              </w:rPr>
              <w:t>-Stepdaughter/Stepson</w:t>
            </w:r>
          </w:p>
          <w:p w:rsidR="00D178F2" w:rsidRPr="0029727B" w:rsidRDefault="00D178F2" w:rsidP="00D178F2">
            <w:pPr>
              <w:rPr>
                <w:sz w:val="20"/>
                <w:szCs w:val="20"/>
              </w:rPr>
            </w:pPr>
            <w:r w:rsidRPr="0029727B">
              <w:rPr>
                <w:sz w:val="20"/>
                <w:szCs w:val="20"/>
              </w:rPr>
              <w:t>-Legally adopted Daughter/Son</w:t>
            </w:r>
          </w:p>
          <w:p w:rsidR="00D178F2" w:rsidRDefault="00D178F2" w:rsidP="00D178F2">
            <w:pPr>
              <w:rPr>
                <w:i/>
                <w:sz w:val="18"/>
                <w:szCs w:val="18"/>
              </w:rPr>
            </w:pPr>
          </w:p>
          <w:p w:rsidR="00D178F2" w:rsidRPr="008074BB" w:rsidRDefault="00D178F2" w:rsidP="00D178F2">
            <w:pPr>
              <w:rPr>
                <w:i/>
                <w:sz w:val="16"/>
                <w:szCs w:val="16"/>
              </w:rPr>
            </w:pPr>
            <w:r w:rsidRPr="008074BB">
              <w:rPr>
                <w:i/>
                <w:sz w:val="16"/>
                <w:szCs w:val="16"/>
              </w:rPr>
              <w:t xml:space="preserve">A </w:t>
            </w:r>
            <w:r w:rsidRPr="00B34E76">
              <w:rPr>
                <w:b/>
                <w:i/>
                <w:sz w:val="16"/>
                <w:szCs w:val="16"/>
                <w:u w:val="single"/>
              </w:rPr>
              <w:t>child</w:t>
            </w:r>
            <w:r w:rsidRPr="008074BB">
              <w:rPr>
                <w:i/>
                <w:sz w:val="16"/>
                <w:szCs w:val="16"/>
              </w:rPr>
              <w:t xml:space="preserve"> who does not qualify as a dependent under the “Qualifying Child” rules may qualify as a dependent as a “Qualifying Relative” </w:t>
            </w:r>
            <w:r w:rsidRPr="008074BB">
              <w:rPr>
                <w:rStyle w:val="FootnoteReference"/>
                <w:b/>
                <w:sz w:val="16"/>
                <w:szCs w:val="16"/>
              </w:rPr>
              <w:t>2</w:t>
            </w:r>
          </w:p>
        </w:tc>
        <w:tc>
          <w:tcPr>
            <w:tcW w:w="1710" w:type="dxa"/>
            <w:vAlign w:val="center"/>
          </w:tcPr>
          <w:p w:rsidR="00D178F2" w:rsidRPr="0029727B" w:rsidRDefault="00D178F2" w:rsidP="00D178F2">
            <w:pPr>
              <w:jc w:val="center"/>
              <w:rPr>
                <w:sz w:val="20"/>
                <w:szCs w:val="20"/>
              </w:rPr>
            </w:pPr>
            <w:r w:rsidRPr="0029727B">
              <w:rPr>
                <w:sz w:val="20"/>
                <w:szCs w:val="20"/>
              </w:rPr>
              <w:t>Undergraduate</w:t>
            </w:r>
          </w:p>
          <w:p w:rsidR="00D178F2" w:rsidRDefault="00D178F2" w:rsidP="00D178F2">
            <w:pPr>
              <w:jc w:val="center"/>
              <w:rPr>
                <w:b/>
                <w:sz w:val="20"/>
                <w:szCs w:val="20"/>
              </w:rPr>
            </w:pPr>
            <w:r w:rsidRPr="0029727B">
              <w:rPr>
                <w:b/>
                <w:sz w:val="20"/>
                <w:szCs w:val="20"/>
              </w:rPr>
              <w:t>Full-Time</w:t>
            </w:r>
            <w:r>
              <w:rPr>
                <w:rStyle w:val="FootnoteReference"/>
                <w:b/>
                <w:sz w:val="20"/>
                <w:szCs w:val="20"/>
              </w:rPr>
              <w:footnoteReference w:id="1"/>
            </w:r>
          </w:p>
          <w:p w:rsidR="00D178F2" w:rsidRPr="00CA5E4C" w:rsidRDefault="00D178F2" w:rsidP="00D1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</w:t>
            </w:r>
          </w:p>
          <w:p w:rsidR="00D178F2" w:rsidRPr="00CA5E4C" w:rsidRDefault="00D178F2" w:rsidP="00D1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</w:t>
            </w:r>
          </w:p>
          <w:p w:rsidR="00D178F2" w:rsidRDefault="00D178F2" w:rsidP="00D1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</w:t>
            </w:r>
          </w:p>
          <w:p w:rsidR="00D178F2" w:rsidRDefault="00D178F2" w:rsidP="00D1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Undergraduate</w:t>
            </w:r>
          </w:p>
          <w:p w:rsidR="00D178F2" w:rsidRPr="00E51D1B" w:rsidRDefault="00D178F2" w:rsidP="00D178F2">
            <w:pPr>
              <w:jc w:val="center"/>
              <w:rPr>
                <w:vertAlign w:val="superscript"/>
              </w:rPr>
            </w:pPr>
            <w:r w:rsidRPr="00934080">
              <w:rPr>
                <w:b/>
                <w:sz w:val="20"/>
                <w:szCs w:val="20"/>
              </w:rPr>
              <w:t>Part-Time</w:t>
            </w:r>
            <w:r w:rsidR="00E51D1B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10" w:type="dxa"/>
            <w:vAlign w:val="center"/>
          </w:tcPr>
          <w:p w:rsidR="00D178F2" w:rsidRDefault="00D178F2" w:rsidP="00866B98">
            <w:pPr>
              <w:jc w:val="center"/>
              <w:rPr>
                <w:sz w:val="20"/>
                <w:szCs w:val="20"/>
              </w:rPr>
            </w:pPr>
            <w:r w:rsidRPr="0029727B">
              <w:rPr>
                <w:sz w:val="20"/>
                <w:szCs w:val="20"/>
              </w:rPr>
              <w:t>Not Taxable</w:t>
            </w:r>
          </w:p>
          <w:p w:rsidR="00D178F2" w:rsidRDefault="00D178F2" w:rsidP="00866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IRS Sec 117 (d)</w:t>
            </w:r>
          </w:p>
          <w:p w:rsidR="00D178F2" w:rsidRDefault="00D178F2" w:rsidP="00866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</w:t>
            </w:r>
          </w:p>
          <w:p w:rsidR="00D178F2" w:rsidRDefault="00D178F2" w:rsidP="00866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Taxable</w:t>
            </w:r>
          </w:p>
          <w:p w:rsidR="00D178F2" w:rsidRDefault="00D178F2" w:rsidP="00866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</w:t>
            </w:r>
          </w:p>
          <w:p w:rsidR="000F2A9C" w:rsidRDefault="00866B98" w:rsidP="00866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Taxable-IRS Sec 117(d)</w:t>
            </w:r>
          </w:p>
          <w:p w:rsidR="00866B98" w:rsidRPr="0029727B" w:rsidRDefault="00866B98" w:rsidP="0086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D178F2" w:rsidRDefault="00D178F2" w:rsidP="00D178F2">
            <w:pPr>
              <w:jc w:val="center"/>
              <w:rPr>
                <w:sz w:val="20"/>
                <w:szCs w:val="20"/>
              </w:rPr>
            </w:pPr>
            <w:r w:rsidRPr="0029727B">
              <w:rPr>
                <w:sz w:val="20"/>
                <w:szCs w:val="20"/>
              </w:rPr>
              <w:t>Employee must claim the student as a dependent on the employee’s federal tax return for the yea</w:t>
            </w:r>
            <w:r w:rsidR="00853B05">
              <w:rPr>
                <w:sz w:val="20"/>
                <w:szCs w:val="20"/>
              </w:rPr>
              <w:t>r in which the tuition waiver</w:t>
            </w:r>
            <w:r w:rsidRPr="0029727B">
              <w:rPr>
                <w:sz w:val="20"/>
                <w:szCs w:val="20"/>
              </w:rPr>
              <w:t xml:space="preserve"> is granted.</w:t>
            </w:r>
          </w:p>
          <w:p w:rsidR="00D178F2" w:rsidRDefault="00D178F2" w:rsidP="00D1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</w:t>
            </w:r>
          </w:p>
          <w:p w:rsidR="00D178F2" w:rsidRPr="0029727B" w:rsidRDefault="00163D70" w:rsidP="00D1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Part-time must</w:t>
            </w:r>
            <w:r w:rsidR="00D178F2">
              <w:rPr>
                <w:sz w:val="20"/>
                <w:szCs w:val="20"/>
              </w:rPr>
              <w:t xml:space="preserve"> qualify as a dependent under “Qualifying Relative” rules.</w:t>
            </w:r>
          </w:p>
        </w:tc>
      </w:tr>
      <w:tr w:rsidR="00D178F2" w:rsidRPr="0029727B" w:rsidTr="00D178F2">
        <w:tc>
          <w:tcPr>
            <w:tcW w:w="3420" w:type="dxa"/>
          </w:tcPr>
          <w:p w:rsidR="00D178F2" w:rsidRPr="0029727B" w:rsidRDefault="00D178F2" w:rsidP="00D178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9727B">
              <w:rPr>
                <w:b/>
                <w:sz w:val="20"/>
                <w:szCs w:val="20"/>
              </w:rPr>
              <w:t>)</w:t>
            </w:r>
            <w:r w:rsidRPr="0029727B">
              <w:rPr>
                <w:sz w:val="20"/>
                <w:szCs w:val="20"/>
              </w:rPr>
              <w:t>-</w:t>
            </w:r>
            <w:r w:rsidRPr="00F6350B">
              <w:rPr>
                <w:sz w:val="20"/>
                <w:szCs w:val="20"/>
              </w:rPr>
              <w:t>EMPLOYEE’S</w:t>
            </w:r>
            <w:r w:rsidRPr="00A00C26">
              <w:rPr>
                <w:sz w:val="20"/>
                <w:szCs w:val="20"/>
              </w:rPr>
              <w:t xml:space="preserve">: </w:t>
            </w:r>
          </w:p>
          <w:p w:rsidR="00D178F2" w:rsidRPr="0029727B" w:rsidRDefault="00D178F2" w:rsidP="00D178F2">
            <w:pPr>
              <w:rPr>
                <w:sz w:val="20"/>
                <w:szCs w:val="20"/>
              </w:rPr>
            </w:pPr>
            <w:r w:rsidRPr="0029727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Biological </w:t>
            </w:r>
            <w:r w:rsidRPr="0029727B">
              <w:rPr>
                <w:sz w:val="20"/>
                <w:szCs w:val="20"/>
              </w:rPr>
              <w:t>Daughter/Son</w:t>
            </w:r>
          </w:p>
          <w:p w:rsidR="00D178F2" w:rsidRPr="0029727B" w:rsidRDefault="00D178F2" w:rsidP="00D178F2">
            <w:pPr>
              <w:rPr>
                <w:sz w:val="20"/>
                <w:szCs w:val="20"/>
              </w:rPr>
            </w:pPr>
            <w:r w:rsidRPr="0029727B">
              <w:rPr>
                <w:sz w:val="20"/>
                <w:szCs w:val="20"/>
              </w:rPr>
              <w:t>-Stepdaughter/Stepson</w:t>
            </w:r>
          </w:p>
          <w:p w:rsidR="00D178F2" w:rsidRPr="0029727B" w:rsidRDefault="00D178F2" w:rsidP="00D178F2">
            <w:pPr>
              <w:rPr>
                <w:sz w:val="20"/>
                <w:szCs w:val="20"/>
              </w:rPr>
            </w:pPr>
            <w:r w:rsidRPr="0029727B">
              <w:rPr>
                <w:sz w:val="20"/>
                <w:szCs w:val="20"/>
              </w:rPr>
              <w:t>-Legally adopted Daughter/Son</w:t>
            </w:r>
          </w:p>
          <w:p w:rsidR="00D178F2" w:rsidRPr="0029727B" w:rsidRDefault="00D178F2" w:rsidP="00D178F2">
            <w:pPr>
              <w:rPr>
                <w:sz w:val="20"/>
                <w:szCs w:val="20"/>
              </w:rPr>
            </w:pPr>
            <w:r w:rsidRPr="0029727B">
              <w:rPr>
                <w:sz w:val="20"/>
                <w:szCs w:val="20"/>
              </w:rPr>
              <w:t xml:space="preserve">     </w:t>
            </w:r>
          </w:p>
          <w:p w:rsidR="00D178F2" w:rsidRPr="008074BB" w:rsidRDefault="00D178F2" w:rsidP="00D178F2">
            <w:pPr>
              <w:rPr>
                <w:i/>
                <w:sz w:val="16"/>
                <w:szCs w:val="16"/>
              </w:rPr>
            </w:pPr>
            <w:r w:rsidRPr="008074BB">
              <w:rPr>
                <w:i/>
                <w:sz w:val="16"/>
                <w:szCs w:val="16"/>
              </w:rPr>
              <w:t>If Employee is divorced or separated from child’s other parent who claims child as a tax dependent.</w:t>
            </w:r>
          </w:p>
        </w:tc>
        <w:tc>
          <w:tcPr>
            <w:tcW w:w="1710" w:type="dxa"/>
          </w:tcPr>
          <w:p w:rsidR="00D178F2" w:rsidRPr="0029727B" w:rsidRDefault="00D178F2" w:rsidP="00D178F2">
            <w:pPr>
              <w:rPr>
                <w:sz w:val="20"/>
                <w:szCs w:val="20"/>
              </w:rPr>
            </w:pPr>
            <w:r w:rsidRPr="0029727B">
              <w:rPr>
                <w:sz w:val="20"/>
                <w:szCs w:val="20"/>
              </w:rPr>
              <w:t>Undergraduate</w:t>
            </w:r>
          </w:p>
          <w:p w:rsidR="00D178F2" w:rsidRDefault="00D178F2" w:rsidP="00D178F2">
            <w:pPr>
              <w:jc w:val="center"/>
              <w:rPr>
                <w:sz w:val="20"/>
                <w:szCs w:val="20"/>
              </w:rPr>
            </w:pPr>
            <w:r w:rsidRPr="0029727B">
              <w:rPr>
                <w:b/>
                <w:sz w:val="20"/>
                <w:szCs w:val="20"/>
              </w:rPr>
              <w:t>Full-Ti</w:t>
            </w:r>
            <w:r w:rsidRPr="003F2A1B">
              <w:rPr>
                <w:b/>
                <w:sz w:val="20"/>
                <w:szCs w:val="20"/>
              </w:rPr>
              <w:t>me</w:t>
            </w:r>
            <w:r w:rsidR="003F2A1B" w:rsidRPr="003F2A1B">
              <w:rPr>
                <w:rStyle w:val="FootnoteReference"/>
                <w:b/>
                <w:sz w:val="16"/>
                <w:szCs w:val="16"/>
              </w:rPr>
              <w:t>1</w:t>
            </w:r>
          </w:p>
          <w:p w:rsidR="00D178F2" w:rsidRDefault="00D178F2" w:rsidP="00D17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</w:t>
            </w:r>
          </w:p>
          <w:p w:rsidR="00D178F2" w:rsidRDefault="00D178F2" w:rsidP="00D1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</w:t>
            </w:r>
          </w:p>
          <w:p w:rsidR="00D178F2" w:rsidRDefault="00D178F2" w:rsidP="00D17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</w:t>
            </w:r>
          </w:p>
          <w:p w:rsidR="00D178F2" w:rsidRDefault="00D178F2" w:rsidP="00D1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Undergraduate</w:t>
            </w:r>
          </w:p>
          <w:p w:rsidR="00D178F2" w:rsidRPr="00E51D1B" w:rsidRDefault="00D178F2" w:rsidP="00D178F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C17B2">
              <w:rPr>
                <w:b/>
                <w:sz w:val="20"/>
                <w:szCs w:val="20"/>
              </w:rPr>
              <w:t>Part-Time</w:t>
            </w:r>
            <w:r w:rsidR="00E51D1B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10" w:type="dxa"/>
          </w:tcPr>
          <w:p w:rsidR="00D178F2" w:rsidRDefault="00D178F2" w:rsidP="00D178F2">
            <w:pPr>
              <w:jc w:val="center"/>
              <w:rPr>
                <w:sz w:val="20"/>
                <w:szCs w:val="20"/>
              </w:rPr>
            </w:pPr>
            <w:r w:rsidRPr="0029727B">
              <w:rPr>
                <w:sz w:val="20"/>
                <w:szCs w:val="20"/>
              </w:rPr>
              <w:t>Not Taxable</w:t>
            </w:r>
          </w:p>
          <w:p w:rsidR="00D178F2" w:rsidRDefault="00D178F2" w:rsidP="00D1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IRS Sec 117 (d)</w:t>
            </w:r>
          </w:p>
          <w:p w:rsidR="00D178F2" w:rsidRDefault="00D178F2" w:rsidP="00D17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</w:t>
            </w:r>
          </w:p>
          <w:p w:rsidR="00D178F2" w:rsidRDefault="00D178F2" w:rsidP="00D1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Taxable</w:t>
            </w:r>
          </w:p>
          <w:p w:rsidR="00D178F2" w:rsidRDefault="00D178F2" w:rsidP="00D17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</w:t>
            </w:r>
          </w:p>
          <w:p w:rsidR="000F2A9C" w:rsidRPr="0029727B" w:rsidRDefault="00866B98" w:rsidP="00D1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Taxable-IRS Sec 117(d)</w:t>
            </w:r>
          </w:p>
        </w:tc>
        <w:tc>
          <w:tcPr>
            <w:tcW w:w="3798" w:type="dxa"/>
          </w:tcPr>
          <w:p w:rsidR="00D178F2" w:rsidRDefault="00D178F2" w:rsidP="00D178F2">
            <w:pPr>
              <w:jc w:val="center"/>
              <w:rPr>
                <w:sz w:val="20"/>
                <w:szCs w:val="20"/>
              </w:rPr>
            </w:pPr>
            <w:r w:rsidRPr="0029727B">
              <w:rPr>
                <w:sz w:val="20"/>
                <w:szCs w:val="20"/>
              </w:rPr>
              <w:t xml:space="preserve">Divorced/separated spouse must claim the student as a dependent on his/her tax return for the year in </w:t>
            </w:r>
            <w:r w:rsidR="00853B05">
              <w:rPr>
                <w:sz w:val="20"/>
                <w:szCs w:val="20"/>
              </w:rPr>
              <w:t>which tuition waiver</w:t>
            </w:r>
            <w:r w:rsidRPr="0029727B">
              <w:rPr>
                <w:sz w:val="20"/>
                <w:szCs w:val="20"/>
              </w:rPr>
              <w:t xml:space="preserve"> is granted to the employee.</w:t>
            </w:r>
          </w:p>
          <w:p w:rsidR="00D178F2" w:rsidRDefault="00D178F2" w:rsidP="00D17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</w:t>
            </w:r>
          </w:p>
          <w:p w:rsidR="00D178F2" w:rsidRPr="0029727B" w:rsidRDefault="000F2A9C" w:rsidP="00D1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Part-time m</w:t>
            </w:r>
            <w:r w:rsidR="00D178F2">
              <w:rPr>
                <w:sz w:val="20"/>
                <w:szCs w:val="20"/>
              </w:rPr>
              <w:t>ust qualify as a dependent under “Qualifying Relative” rules.</w:t>
            </w:r>
          </w:p>
        </w:tc>
      </w:tr>
      <w:tr w:rsidR="00D178F2" w:rsidRPr="0029727B" w:rsidTr="00D178F2">
        <w:tc>
          <w:tcPr>
            <w:tcW w:w="3420" w:type="dxa"/>
          </w:tcPr>
          <w:p w:rsidR="00D178F2" w:rsidRDefault="00D178F2" w:rsidP="00D178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6)- </w:t>
            </w:r>
            <w:r>
              <w:rPr>
                <w:sz w:val="20"/>
                <w:szCs w:val="20"/>
              </w:rPr>
              <w:t>Dependent of OQA</w:t>
            </w:r>
          </w:p>
          <w:p w:rsidR="002720FF" w:rsidRDefault="002720FF" w:rsidP="00D178F2">
            <w:pPr>
              <w:rPr>
                <w:sz w:val="20"/>
                <w:szCs w:val="20"/>
              </w:rPr>
            </w:pPr>
          </w:p>
          <w:p w:rsidR="002720FF" w:rsidRPr="00563A8E" w:rsidRDefault="002720FF" w:rsidP="002E1EAB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Must meet the IRS definition of a dependent.</w:t>
            </w:r>
            <w:r w:rsidR="00B72407">
              <w:rPr>
                <w:rStyle w:val="FootnoteReference"/>
                <w:b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 xml:space="preserve"> Alternatively,</w:t>
            </w:r>
            <w:r w:rsidR="002E1EAB">
              <w:rPr>
                <w:i/>
                <w:sz w:val="16"/>
                <w:szCs w:val="16"/>
              </w:rPr>
              <w:t xml:space="preserve"> a </w:t>
            </w:r>
            <w:r w:rsidRPr="008074BB">
              <w:rPr>
                <w:i/>
                <w:sz w:val="16"/>
                <w:szCs w:val="16"/>
              </w:rPr>
              <w:t xml:space="preserve"> </w:t>
            </w:r>
            <w:r w:rsidRPr="002E1EAB">
              <w:rPr>
                <w:b/>
                <w:i/>
                <w:sz w:val="16"/>
                <w:szCs w:val="16"/>
                <w:u w:val="single"/>
              </w:rPr>
              <w:t>child</w:t>
            </w:r>
            <w:r w:rsidRPr="008074BB">
              <w:rPr>
                <w:i/>
                <w:sz w:val="16"/>
                <w:szCs w:val="16"/>
              </w:rPr>
              <w:t xml:space="preserve"> who does not qualify as a dependent under the “Qualifying Child” rules may qualify as a dependent as a “Qualifying Relative” </w:t>
            </w:r>
            <w:r w:rsidRPr="008074BB">
              <w:rPr>
                <w:rStyle w:val="FootnoteReference"/>
                <w:b/>
                <w:sz w:val="16"/>
                <w:szCs w:val="16"/>
              </w:rPr>
              <w:t>2</w:t>
            </w:r>
          </w:p>
        </w:tc>
        <w:tc>
          <w:tcPr>
            <w:tcW w:w="1710" w:type="dxa"/>
            <w:vAlign w:val="center"/>
          </w:tcPr>
          <w:p w:rsidR="00D178F2" w:rsidRPr="00563A8E" w:rsidRDefault="00853B05" w:rsidP="00D1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</w:t>
            </w:r>
          </w:p>
        </w:tc>
        <w:tc>
          <w:tcPr>
            <w:tcW w:w="2610" w:type="dxa"/>
            <w:vAlign w:val="center"/>
          </w:tcPr>
          <w:p w:rsidR="00D178F2" w:rsidRDefault="00D178F2" w:rsidP="00D1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Taxable</w:t>
            </w:r>
          </w:p>
        </w:tc>
        <w:tc>
          <w:tcPr>
            <w:tcW w:w="3798" w:type="dxa"/>
            <w:vAlign w:val="center"/>
          </w:tcPr>
          <w:p w:rsidR="00D178F2" w:rsidRPr="0029727B" w:rsidRDefault="00D178F2" w:rsidP="00D1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extension of tuition</w:t>
            </w:r>
            <w:r w:rsidR="00853B05">
              <w:rPr>
                <w:sz w:val="20"/>
                <w:szCs w:val="20"/>
              </w:rPr>
              <w:t xml:space="preserve"> waiver</w:t>
            </w:r>
            <w:r w:rsidR="00BD2274">
              <w:rPr>
                <w:sz w:val="20"/>
                <w:szCs w:val="20"/>
              </w:rPr>
              <w:t xml:space="preserve"> benefits</w:t>
            </w:r>
            <w:r w:rsidR="00B34E76">
              <w:rPr>
                <w:sz w:val="20"/>
                <w:szCs w:val="20"/>
              </w:rPr>
              <w:t xml:space="preserve"> to the dependent of an </w:t>
            </w:r>
            <w:proofErr w:type="gramStart"/>
            <w:r w:rsidR="00B34E76">
              <w:rPr>
                <w:sz w:val="20"/>
                <w:szCs w:val="20"/>
              </w:rPr>
              <w:t>OQA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requires the inclusion of the value of such payments in the gross income of the employee to whose benefit such amounts are paid.</w:t>
            </w:r>
          </w:p>
        </w:tc>
      </w:tr>
      <w:tr w:rsidR="00D178F2" w:rsidRPr="0029727B" w:rsidTr="00E51D1B">
        <w:trPr>
          <w:trHeight w:val="1149"/>
        </w:trPr>
        <w:tc>
          <w:tcPr>
            <w:tcW w:w="3420" w:type="dxa"/>
          </w:tcPr>
          <w:p w:rsidR="00D178F2" w:rsidRPr="00EA5B9C" w:rsidRDefault="00D178F2" w:rsidP="00D178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7)-</w:t>
            </w:r>
            <w:r>
              <w:rPr>
                <w:sz w:val="20"/>
                <w:szCs w:val="20"/>
              </w:rPr>
              <w:t>Special Lecturer</w:t>
            </w:r>
          </w:p>
        </w:tc>
        <w:tc>
          <w:tcPr>
            <w:tcW w:w="1710" w:type="dxa"/>
          </w:tcPr>
          <w:p w:rsidR="00D178F2" w:rsidRDefault="00D178F2" w:rsidP="00D1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Undergraduate</w:t>
            </w:r>
          </w:p>
          <w:p w:rsidR="00D178F2" w:rsidRDefault="00D178F2" w:rsidP="00D17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</w:t>
            </w:r>
          </w:p>
          <w:p w:rsidR="00D178F2" w:rsidRDefault="00D178F2" w:rsidP="00D1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</w:t>
            </w:r>
          </w:p>
        </w:tc>
        <w:tc>
          <w:tcPr>
            <w:tcW w:w="2610" w:type="dxa"/>
          </w:tcPr>
          <w:p w:rsidR="00D178F2" w:rsidRDefault="00D178F2" w:rsidP="00D1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Taxable</w:t>
            </w:r>
            <w:r w:rsidR="00866B98">
              <w:rPr>
                <w:sz w:val="20"/>
                <w:szCs w:val="20"/>
              </w:rPr>
              <w:t>-IRS Sec 117(d)</w:t>
            </w:r>
          </w:p>
          <w:p w:rsidR="00D178F2" w:rsidRDefault="00D178F2" w:rsidP="00D17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</w:t>
            </w:r>
          </w:p>
          <w:p w:rsidR="000F2A9C" w:rsidRDefault="000F2A9C" w:rsidP="00D1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Annually, </w:t>
            </w:r>
            <w:r w:rsidR="00163D70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f</w:t>
            </w:r>
            <w:r w:rsidR="00D178F2" w:rsidRPr="0029727B">
              <w:rPr>
                <w:sz w:val="20"/>
                <w:szCs w:val="20"/>
              </w:rPr>
              <w:t xml:space="preserve">irst $5,250 is Not-Taxable. </w:t>
            </w:r>
            <w:r w:rsidR="00D178F2" w:rsidRPr="0029727B">
              <w:rPr>
                <w:b/>
                <w:sz w:val="20"/>
                <w:szCs w:val="20"/>
              </w:rPr>
              <w:t>Any amount over $5,250 is TAXABLE</w:t>
            </w:r>
            <w:r w:rsidR="00D178F2" w:rsidRPr="0029727B">
              <w:rPr>
                <w:sz w:val="20"/>
                <w:szCs w:val="20"/>
              </w:rPr>
              <w:t xml:space="preserve"> </w:t>
            </w:r>
          </w:p>
          <w:p w:rsidR="00D178F2" w:rsidRPr="000F2A9C" w:rsidRDefault="00D178F2" w:rsidP="000F2A9C">
            <w:pPr>
              <w:jc w:val="center"/>
              <w:rPr>
                <w:sz w:val="20"/>
                <w:szCs w:val="20"/>
              </w:rPr>
            </w:pPr>
            <w:r w:rsidRPr="0029727B">
              <w:rPr>
                <w:sz w:val="20"/>
                <w:szCs w:val="20"/>
              </w:rPr>
              <w:t>IRS Sec 127</w:t>
            </w:r>
          </w:p>
        </w:tc>
        <w:tc>
          <w:tcPr>
            <w:tcW w:w="3798" w:type="dxa"/>
            <w:vAlign w:val="center"/>
          </w:tcPr>
          <w:p w:rsidR="00D178F2" w:rsidRDefault="00D178F2" w:rsidP="00103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 for up to 8 credits per appointment year. Credits are transferr</w:t>
            </w:r>
            <w:r w:rsidR="00103639">
              <w:rPr>
                <w:sz w:val="20"/>
                <w:szCs w:val="20"/>
              </w:rPr>
              <w:t>able to spouse &amp; dependents</w:t>
            </w:r>
            <w:r w:rsidR="006F00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Transferring Graduate credits become 100% taxable. </w:t>
            </w:r>
            <w:r w:rsidR="00103639">
              <w:rPr>
                <w:sz w:val="20"/>
                <w:szCs w:val="20"/>
              </w:rPr>
              <w:t xml:space="preserve"> </w:t>
            </w:r>
            <w:r w:rsidR="00E41877">
              <w:rPr>
                <w:sz w:val="18"/>
                <w:szCs w:val="18"/>
              </w:rPr>
              <w:t>(See item</w:t>
            </w:r>
            <w:r w:rsidR="00103639" w:rsidRPr="00103639">
              <w:rPr>
                <w:sz w:val="18"/>
                <w:szCs w:val="18"/>
              </w:rPr>
              <w:t>s 2 thru 6 for spouse and dependent</w:t>
            </w:r>
            <w:r w:rsidR="00EF2A1C">
              <w:rPr>
                <w:sz w:val="18"/>
                <w:szCs w:val="18"/>
              </w:rPr>
              <w:t xml:space="preserve"> guidelines</w:t>
            </w:r>
            <w:r w:rsidR="00103639" w:rsidRPr="00103639">
              <w:rPr>
                <w:sz w:val="18"/>
                <w:szCs w:val="18"/>
              </w:rPr>
              <w:t>.)</w:t>
            </w:r>
          </w:p>
        </w:tc>
      </w:tr>
    </w:tbl>
    <w:p w:rsidR="00E51D1B" w:rsidRPr="00E51D1B" w:rsidRDefault="00E51D1B" w:rsidP="00E51D1B">
      <w:pPr>
        <w:pStyle w:val="NoSpacing"/>
        <w:rPr>
          <w:b/>
          <w:sz w:val="16"/>
          <w:szCs w:val="16"/>
        </w:rPr>
      </w:pPr>
    </w:p>
    <w:sectPr w:rsidR="00E51D1B" w:rsidRPr="00E51D1B" w:rsidSect="008074BB">
      <w:headerReference w:type="default" r:id="rId9"/>
      <w:pgSz w:w="12240" w:h="15840"/>
      <w:pgMar w:top="720" w:right="720" w:bottom="27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97B" w:rsidRDefault="00FC097B" w:rsidP="00CC1B98">
      <w:pPr>
        <w:spacing w:after="0" w:line="240" w:lineRule="auto"/>
      </w:pPr>
      <w:r>
        <w:separator/>
      </w:r>
    </w:p>
  </w:endnote>
  <w:endnote w:type="continuationSeparator" w:id="0">
    <w:p w:rsidR="00FC097B" w:rsidRDefault="00FC097B" w:rsidP="00CC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97B" w:rsidRDefault="00FC097B" w:rsidP="00CC1B98">
      <w:pPr>
        <w:spacing w:after="0" w:line="240" w:lineRule="auto"/>
      </w:pPr>
      <w:r>
        <w:separator/>
      </w:r>
    </w:p>
  </w:footnote>
  <w:footnote w:type="continuationSeparator" w:id="0">
    <w:p w:rsidR="00FC097B" w:rsidRDefault="00FC097B" w:rsidP="00CC1B98">
      <w:pPr>
        <w:spacing w:after="0" w:line="240" w:lineRule="auto"/>
      </w:pPr>
      <w:r>
        <w:continuationSeparator/>
      </w:r>
    </w:p>
  </w:footnote>
  <w:footnote w:id="1">
    <w:p w:rsidR="002E1EAB" w:rsidRPr="00853B05" w:rsidRDefault="002E1EAB" w:rsidP="00F90C62">
      <w:pPr>
        <w:pStyle w:val="FootnoteText"/>
        <w:ind w:left="-360" w:right="-360"/>
        <w:jc w:val="both"/>
        <w:rPr>
          <w:sz w:val="16"/>
          <w:szCs w:val="16"/>
        </w:rPr>
      </w:pPr>
      <w:r w:rsidRPr="00853B05">
        <w:rPr>
          <w:rStyle w:val="FootnoteReference"/>
          <w:sz w:val="16"/>
          <w:szCs w:val="16"/>
        </w:rPr>
        <w:footnoteRef/>
      </w:r>
      <w:r w:rsidRPr="00853B05">
        <w:rPr>
          <w:sz w:val="16"/>
          <w:szCs w:val="16"/>
        </w:rPr>
        <w:t xml:space="preserve"> IRS regulations define a qualifying child as an individual who is under the age of 24 and a full-time student for at least five months of the year. A qualifying child who is a full-time student at another college or univers</w:t>
      </w:r>
      <w:r w:rsidR="00853B05" w:rsidRPr="00853B05">
        <w:rPr>
          <w:sz w:val="16"/>
          <w:szCs w:val="16"/>
        </w:rPr>
        <w:t>ity is eligible for tuition waiver</w:t>
      </w:r>
      <w:r w:rsidRPr="00853B05">
        <w:rPr>
          <w:sz w:val="16"/>
          <w:szCs w:val="16"/>
        </w:rPr>
        <w:t xml:space="preserve"> as a guest student at Oakland University. </w:t>
      </w:r>
    </w:p>
    <w:p w:rsidR="002E1EAB" w:rsidRDefault="002E1EAB" w:rsidP="00F90C62">
      <w:pPr>
        <w:pStyle w:val="FootnoteText"/>
        <w:ind w:left="-360" w:right="-360"/>
        <w:jc w:val="both"/>
        <w:rPr>
          <w:sz w:val="16"/>
          <w:szCs w:val="16"/>
        </w:rPr>
      </w:pPr>
      <w:r w:rsidRPr="00853B05">
        <w:rPr>
          <w:rStyle w:val="FootnoteReference"/>
          <w:sz w:val="16"/>
          <w:szCs w:val="16"/>
        </w:rPr>
        <w:t>2</w:t>
      </w:r>
      <w:r w:rsidRPr="00853B05">
        <w:rPr>
          <w:sz w:val="16"/>
          <w:szCs w:val="16"/>
        </w:rPr>
        <w:t xml:space="preserve"> IRS regulations define a qualifying relative as someone who meets the relationship test, whose gross income is less than the “Standard Personal Tax Exemption”, and meets the 50% support test. </w:t>
      </w:r>
    </w:p>
    <w:p w:rsidR="00E51D1B" w:rsidRPr="00853B05" w:rsidRDefault="00E51D1B" w:rsidP="00F90C62">
      <w:pPr>
        <w:pStyle w:val="FootnoteText"/>
        <w:ind w:left="-360" w:right="-360"/>
        <w:jc w:val="both"/>
        <w:rPr>
          <w:sz w:val="16"/>
          <w:szCs w:val="16"/>
        </w:rPr>
      </w:pPr>
      <w:r>
        <w:rPr>
          <w:rStyle w:val="FootnoteReference"/>
          <w:sz w:val="16"/>
          <w:szCs w:val="16"/>
        </w:rPr>
        <w:t>3</w:t>
      </w:r>
      <w:r w:rsidR="00E73CCD">
        <w:rPr>
          <w:sz w:val="16"/>
          <w:szCs w:val="16"/>
        </w:rPr>
        <w:t xml:space="preserve"> Part-time status</w:t>
      </w:r>
      <w:r>
        <w:rPr>
          <w:sz w:val="16"/>
          <w:szCs w:val="16"/>
        </w:rPr>
        <w:t xml:space="preserve"> as defined by</w:t>
      </w:r>
      <w:r w:rsidR="00E73CCD">
        <w:rPr>
          <w:sz w:val="16"/>
          <w:szCs w:val="16"/>
        </w:rPr>
        <w:t xml:space="preserve"> Oakland University</w:t>
      </w:r>
      <w:r w:rsidR="006F004E">
        <w:rPr>
          <w:sz w:val="16"/>
          <w:szCs w:val="16"/>
        </w:rPr>
        <w:t xml:space="preserve"> is less than 12 credit hours</w:t>
      </w:r>
      <w:r w:rsidR="00E41877">
        <w:rPr>
          <w:sz w:val="16"/>
          <w:szCs w:val="16"/>
        </w:rPr>
        <w:t xml:space="preserve"> per semester</w:t>
      </w:r>
      <w:r w:rsidR="006F004E">
        <w:rPr>
          <w:sz w:val="16"/>
          <w:szCs w:val="16"/>
        </w:rPr>
        <w:t xml:space="preserve"> for</w:t>
      </w:r>
      <w:r w:rsidR="004B7767">
        <w:rPr>
          <w:sz w:val="16"/>
          <w:szCs w:val="16"/>
        </w:rPr>
        <w:t xml:space="preserve"> </w:t>
      </w:r>
      <w:r w:rsidR="006F004E">
        <w:rPr>
          <w:sz w:val="16"/>
          <w:szCs w:val="16"/>
        </w:rPr>
        <w:t>undergraduate; and less than</w:t>
      </w:r>
      <w:r w:rsidR="00793AEB">
        <w:rPr>
          <w:sz w:val="16"/>
          <w:szCs w:val="16"/>
        </w:rPr>
        <w:t xml:space="preserve"> 8 credit hours</w:t>
      </w:r>
      <w:r w:rsidR="00E41877">
        <w:rPr>
          <w:sz w:val="16"/>
          <w:szCs w:val="16"/>
        </w:rPr>
        <w:t xml:space="preserve"> per semester</w:t>
      </w:r>
      <w:r w:rsidR="00793AEB">
        <w:rPr>
          <w:sz w:val="16"/>
          <w:szCs w:val="16"/>
        </w:rPr>
        <w:t xml:space="preserve"> at</w:t>
      </w:r>
      <w:r w:rsidR="004B7767">
        <w:rPr>
          <w:sz w:val="16"/>
          <w:szCs w:val="16"/>
        </w:rPr>
        <w:t xml:space="preserve"> graduate level.</w:t>
      </w:r>
      <w:r w:rsidR="00E73CCD">
        <w:rPr>
          <w:sz w:val="16"/>
          <w:szCs w:val="16"/>
        </w:rPr>
        <w:t xml:space="preserve"> </w:t>
      </w:r>
    </w:p>
    <w:p w:rsidR="002E1EAB" w:rsidRPr="00EA5B9C" w:rsidRDefault="002E1EAB" w:rsidP="00D178F2">
      <w:pPr>
        <w:pStyle w:val="FootnoteText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EAB" w:rsidRPr="00320470" w:rsidRDefault="00D81901" w:rsidP="00320470">
    <w:pPr>
      <w:pStyle w:val="Header"/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TUITION WAIVER</w:t>
    </w:r>
    <w:r w:rsidR="002E1EAB">
      <w:rPr>
        <w:b/>
        <w:sz w:val="24"/>
        <w:szCs w:val="24"/>
        <w:u w:val="single"/>
      </w:rPr>
      <w:t xml:space="preserve"> TAXABILITY GUIDELINES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7D"/>
    <w:rsid w:val="000B3431"/>
    <w:rsid w:val="000C17B2"/>
    <w:rsid w:val="000F2A9C"/>
    <w:rsid w:val="00103639"/>
    <w:rsid w:val="001257CE"/>
    <w:rsid w:val="00163D70"/>
    <w:rsid w:val="00163F87"/>
    <w:rsid w:val="001C62CD"/>
    <w:rsid w:val="002720FF"/>
    <w:rsid w:val="002E1EAB"/>
    <w:rsid w:val="002E2E7F"/>
    <w:rsid w:val="00311F47"/>
    <w:rsid w:val="00320470"/>
    <w:rsid w:val="00350D30"/>
    <w:rsid w:val="00373D63"/>
    <w:rsid w:val="003B1829"/>
    <w:rsid w:val="003C40F1"/>
    <w:rsid w:val="003F2A1B"/>
    <w:rsid w:val="00461E68"/>
    <w:rsid w:val="00466577"/>
    <w:rsid w:val="0047620C"/>
    <w:rsid w:val="004A5276"/>
    <w:rsid w:val="004B7767"/>
    <w:rsid w:val="004D62B5"/>
    <w:rsid w:val="00561FE5"/>
    <w:rsid w:val="00563A8E"/>
    <w:rsid w:val="005A4F57"/>
    <w:rsid w:val="0069081E"/>
    <w:rsid w:val="00694929"/>
    <w:rsid w:val="006B4A2B"/>
    <w:rsid w:val="006F004E"/>
    <w:rsid w:val="007162E9"/>
    <w:rsid w:val="00793AEB"/>
    <w:rsid w:val="007A445E"/>
    <w:rsid w:val="007C1938"/>
    <w:rsid w:val="008074BB"/>
    <w:rsid w:val="00851677"/>
    <w:rsid w:val="00853B05"/>
    <w:rsid w:val="00866B98"/>
    <w:rsid w:val="008B6745"/>
    <w:rsid w:val="008E5F5B"/>
    <w:rsid w:val="0091576C"/>
    <w:rsid w:val="00934080"/>
    <w:rsid w:val="00936C8A"/>
    <w:rsid w:val="00945C4D"/>
    <w:rsid w:val="0094631C"/>
    <w:rsid w:val="00967272"/>
    <w:rsid w:val="00A00C26"/>
    <w:rsid w:val="00A0415F"/>
    <w:rsid w:val="00A23E17"/>
    <w:rsid w:val="00AE777D"/>
    <w:rsid w:val="00B34E76"/>
    <w:rsid w:val="00B35298"/>
    <w:rsid w:val="00B72407"/>
    <w:rsid w:val="00BB6156"/>
    <w:rsid w:val="00BD2274"/>
    <w:rsid w:val="00C04F9B"/>
    <w:rsid w:val="00C104AE"/>
    <w:rsid w:val="00C7362B"/>
    <w:rsid w:val="00C73D6F"/>
    <w:rsid w:val="00C8692E"/>
    <w:rsid w:val="00CA5E4C"/>
    <w:rsid w:val="00CB6F0B"/>
    <w:rsid w:val="00CC1B98"/>
    <w:rsid w:val="00CD108F"/>
    <w:rsid w:val="00CE7B61"/>
    <w:rsid w:val="00CF587D"/>
    <w:rsid w:val="00D0171B"/>
    <w:rsid w:val="00D178F2"/>
    <w:rsid w:val="00D732AE"/>
    <w:rsid w:val="00D81901"/>
    <w:rsid w:val="00E41877"/>
    <w:rsid w:val="00E51D1B"/>
    <w:rsid w:val="00E73CCD"/>
    <w:rsid w:val="00E74915"/>
    <w:rsid w:val="00E8152E"/>
    <w:rsid w:val="00EA5B9C"/>
    <w:rsid w:val="00EF2A1C"/>
    <w:rsid w:val="00EF5B07"/>
    <w:rsid w:val="00F6350B"/>
    <w:rsid w:val="00F90C62"/>
    <w:rsid w:val="00FC097B"/>
    <w:rsid w:val="00FC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C1B9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1B9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1B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1B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1B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1B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B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0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470"/>
  </w:style>
  <w:style w:type="paragraph" w:styleId="Footer">
    <w:name w:val="footer"/>
    <w:basedOn w:val="Normal"/>
    <w:link w:val="FooterChar"/>
    <w:uiPriority w:val="99"/>
    <w:unhideWhenUsed/>
    <w:rsid w:val="00320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470"/>
  </w:style>
  <w:style w:type="paragraph" w:styleId="NoSpacing">
    <w:name w:val="No Spacing"/>
    <w:uiPriority w:val="1"/>
    <w:qFormat/>
    <w:rsid w:val="00EA5B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5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C1B9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1B9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1B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1B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1B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1B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B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0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470"/>
  </w:style>
  <w:style w:type="paragraph" w:styleId="Footer">
    <w:name w:val="footer"/>
    <w:basedOn w:val="Normal"/>
    <w:link w:val="FooterChar"/>
    <w:uiPriority w:val="99"/>
    <w:unhideWhenUsed/>
    <w:rsid w:val="00320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470"/>
  </w:style>
  <w:style w:type="paragraph" w:styleId="NoSpacing">
    <w:name w:val="No Spacing"/>
    <w:uiPriority w:val="1"/>
    <w:qFormat/>
    <w:rsid w:val="00EA5B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5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/index.htm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F03D6-D32B-4E07-A393-C5FA95E3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Theodore J. Ollar</dc:creator>
  <cp:lastModifiedBy>Oakland University</cp:lastModifiedBy>
  <cp:revision>2</cp:revision>
  <cp:lastPrinted>2013-02-12T13:19:00Z</cp:lastPrinted>
  <dcterms:created xsi:type="dcterms:W3CDTF">2013-03-19T13:46:00Z</dcterms:created>
  <dcterms:modified xsi:type="dcterms:W3CDTF">2013-03-19T13:46:00Z</dcterms:modified>
</cp:coreProperties>
</file>