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47D" w:rsidRDefault="00DD747D" w:rsidP="00EB0E5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Office of Research Administration</w:t>
      </w:r>
    </w:p>
    <w:p w:rsidR="008A797A" w:rsidRDefault="009751D3" w:rsidP="00EB0E59">
      <w:pPr>
        <w:spacing w:after="0"/>
        <w:jc w:val="center"/>
        <w:rPr>
          <w:b/>
          <w:sz w:val="24"/>
          <w:szCs w:val="24"/>
        </w:rPr>
      </w:pPr>
      <w:r w:rsidRPr="00393420">
        <w:rPr>
          <w:b/>
          <w:sz w:val="24"/>
          <w:szCs w:val="24"/>
        </w:rPr>
        <w:t>Graduate Research Assistantship Tuition Award</w:t>
      </w:r>
    </w:p>
    <w:p w:rsidR="007D403F" w:rsidRDefault="00EB0E59" w:rsidP="00EB0E5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GUIDELINES</w:t>
      </w:r>
    </w:p>
    <w:p w:rsidR="00C9011A" w:rsidRDefault="00C9011A" w:rsidP="00EB0E59">
      <w:pPr>
        <w:spacing w:after="0"/>
        <w:jc w:val="center"/>
        <w:rPr>
          <w:b/>
          <w:sz w:val="24"/>
          <w:szCs w:val="24"/>
        </w:rPr>
      </w:pPr>
    </w:p>
    <w:p w:rsidR="00935C10" w:rsidRDefault="00935C10">
      <w:pPr>
        <w:rPr>
          <w:sz w:val="24"/>
          <w:szCs w:val="24"/>
        </w:rPr>
      </w:pPr>
      <w:r>
        <w:rPr>
          <w:sz w:val="24"/>
          <w:szCs w:val="24"/>
        </w:rPr>
        <w:t>The Graduate Research Assistantship Tuition (</w:t>
      </w:r>
      <w:proofErr w:type="spellStart"/>
      <w:r>
        <w:rPr>
          <w:sz w:val="24"/>
          <w:szCs w:val="24"/>
        </w:rPr>
        <w:t>GReAT</w:t>
      </w:r>
      <w:proofErr w:type="spellEnd"/>
      <w:r>
        <w:rPr>
          <w:sz w:val="24"/>
          <w:szCs w:val="24"/>
        </w:rPr>
        <w:t xml:space="preserve">) </w:t>
      </w:r>
      <w:r w:rsidR="00CA449A">
        <w:rPr>
          <w:sz w:val="24"/>
          <w:szCs w:val="24"/>
        </w:rPr>
        <w:t xml:space="preserve">is a competitive program that </w:t>
      </w:r>
      <w:r w:rsidR="00CA449A" w:rsidRPr="00393420">
        <w:rPr>
          <w:sz w:val="24"/>
          <w:szCs w:val="24"/>
        </w:rPr>
        <w:t xml:space="preserve">provides supplemental tuition support to Oakland University (OU) </w:t>
      </w:r>
      <w:r w:rsidR="00CA449A">
        <w:rPr>
          <w:sz w:val="24"/>
          <w:szCs w:val="24"/>
        </w:rPr>
        <w:t>g</w:t>
      </w:r>
      <w:r w:rsidR="00CA449A" w:rsidRPr="00393420">
        <w:rPr>
          <w:sz w:val="24"/>
          <w:szCs w:val="24"/>
        </w:rPr>
        <w:t xml:space="preserve">raduate </w:t>
      </w:r>
      <w:r w:rsidR="00CA449A">
        <w:rPr>
          <w:sz w:val="24"/>
          <w:szCs w:val="24"/>
        </w:rPr>
        <w:t>s</w:t>
      </w:r>
      <w:r w:rsidR="00CA449A" w:rsidRPr="00393420">
        <w:rPr>
          <w:sz w:val="24"/>
          <w:szCs w:val="24"/>
        </w:rPr>
        <w:t>tudents</w:t>
      </w:r>
      <w:r w:rsidR="00CA449A" w:rsidRPr="00CA449A">
        <w:rPr>
          <w:sz w:val="24"/>
          <w:szCs w:val="24"/>
        </w:rPr>
        <w:t xml:space="preserve"> </w:t>
      </w:r>
      <w:r w:rsidR="00CA449A">
        <w:rPr>
          <w:sz w:val="24"/>
          <w:szCs w:val="24"/>
        </w:rPr>
        <w:t>working with OU faculty</w:t>
      </w:r>
      <w:r w:rsidR="00CA449A" w:rsidRPr="00393420">
        <w:rPr>
          <w:sz w:val="24"/>
          <w:szCs w:val="24"/>
        </w:rPr>
        <w:t xml:space="preserve">. </w:t>
      </w:r>
      <w:r w:rsidR="00CA449A">
        <w:rPr>
          <w:sz w:val="24"/>
          <w:szCs w:val="24"/>
        </w:rPr>
        <w:t xml:space="preserve"> </w:t>
      </w:r>
      <w:proofErr w:type="spellStart"/>
      <w:r w:rsidR="00CA449A">
        <w:rPr>
          <w:sz w:val="24"/>
          <w:szCs w:val="24"/>
        </w:rPr>
        <w:t>GReAT</w:t>
      </w:r>
      <w:proofErr w:type="spellEnd"/>
      <w:r w:rsidR="00CA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developed to assist faculty with </w:t>
      </w:r>
      <w:r w:rsidR="00CA449A">
        <w:rPr>
          <w:sz w:val="24"/>
          <w:szCs w:val="24"/>
        </w:rPr>
        <w:t xml:space="preserve">providing tuition to their graduate research assistants under </w:t>
      </w:r>
      <w:r w:rsidR="00290DA8">
        <w:rPr>
          <w:sz w:val="24"/>
          <w:szCs w:val="24"/>
        </w:rPr>
        <w:t xml:space="preserve">various </w:t>
      </w:r>
      <w:r w:rsidR="00CA449A">
        <w:rPr>
          <w:sz w:val="24"/>
          <w:szCs w:val="24"/>
        </w:rPr>
        <w:t>circumstances, including:</w:t>
      </w:r>
      <w:r w:rsidR="00290DA8">
        <w:rPr>
          <w:sz w:val="24"/>
          <w:szCs w:val="24"/>
        </w:rPr>
        <w:t xml:space="preserve"> </w:t>
      </w:r>
      <w:r w:rsidR="00CA449A">
        <w:rPr>
          <w:sz w:val="24"/>
          <w:szCs w:val="24"/>
        </w:rPr>
        <w:t>cost sharing that is</w:t>
      </w:r>
      <w:r>
        <w:rPr>
          <w:sz w:val="24"/>
          <w:szCs w:val="24"/>
        </w:rPr>
        <w:t xml:space="preserve"> </w:t>
      </w:r>
      <w:r w:rsidR="00B40F8C">
        <w:rPr>
          <w:sz w:val="24"/>
          <w:szCs w:val="24"/>
        </w:rPr>
        <w:t>mandated</w:t>
      </w:r>
      <w:r>
        <w:rPr>
          <w:sz w:val="24"/>
          <w:szCs w:val="24"/>
        </w:rPr>
        <w:t xml:space="preserve"> by </w:t>
      </w:r>
      <w:r w:rsidR="00CA449A">
        <w:rPr>
          <w:sz w:val="24"/>
          <w:szCs w:val="24"/>
        </w:rPr>
        <w:t>s</w:t>
      </w:r>
      <w:r>
        <w:rPr>
          <w:sz w:val="24"/>
          <w:szCs w:val="24"/>
        </w:rPr>
        <w:t>ponsors</w:t>
      </w:r>
      <w:r w:rsidR="00CA449A">
        <w:rPr>
          <w:sz w:val="24"/>
          <w:szCs w:val="24"/>
        </w:rPr>
        <w:t>; proposals to s</w:t>
      </w:r>
      <w:r>
        <w:rPr>
          <w:sz w:val="24"/>
          <w:szCs w:val="24"/>
        </w:rPr>
        <w:t xml:space="preserve">ponsors </w:t>
      </w:r>
      <w:r w:rsidR="00CA449A">
        <w:rPr>
          <w:sz w:val="24"/>
          <w:szCs w:val="24"/>
        </w:rPr>
        <w:t>that</w:t>
      </w:r>
      <w:r>
        <w:rPr>
          <w:sz w:val="24"/>
          <w:szCs w:val="24"/>
        </w:rPr>
        <w:t xml:space="preserve"> do not allow tuition </w:t>
      </w:r>
      <w:r w:rsidR="00CA449A">
        <w:rPr>
          <w:sz w:val="24"/>
          <w:szCs w:val="24"/>
        </w:rPr>
        <w:t>costs;</w:t>
      </w:r>
      <w:r>
        <w:rPr>
          <w:sz w:val="24"/>
          <w:szCs w:val="24"/>
        </w:rPr>
        <w:t xml:space="preserve"> </w:t>
      </w:r>
      <w:r w:rsidR="00CA449A">
        <w:rPr>
          <w:sz w:val="24"/>
          <w:szCs w:val="24"/>
        </w:rPr>
        <w:t>budgets for which the s</w:t>
      </w:r>
      <w:r>
        <w:rPr>
          <w:sz w:val="24"/>
          <w:szCs w:val="24"/>
        </w:rPr>
        <w:t xml:space="preserve">ponsors </w:t>
      </w:r>
      <w:r w:rsidR="00B40F8C">
        <w:rPr>
          <w:sz w:val="24"/>
          <w:szCs w:val="24"/>
        </w:rPr>
        <w:t>impose</w:t>
      </w:r>
      <w:r w:rsidR="00CA449A">
        <w:rPr>
          <w:sz w:val="24"/>
          <w:szCs w:val="24"/>
        </w:rPr>
        <w:t xml:space="preserve"> a cap on the</w:t>
      </w:r>
      <w:r>
        <w:rPr>
          <w:sz w:val="24"/>
          <w:szCs w:val="24"/>
        </w:rPr>
        <w:t xml:space="preserve"> dollar amount</w:t>
      </w:r>
      <w:r w:rsidR="00CA449A">
        <w:rPr>
          <w:sz w:val="24"/>
          <w:szCs w:val="24"/>
        </w:rPr>
        <w:t xml:space="preserve"> requested; </w:t>
      </w:r>
      <w:r w:rsidR="00AE44A2">
        <w:rPr>
          <w:sz w:val="24"/>
          <w:szCs w:val="24"/>
        </w:rPr>
        <w:t xml:space="preserve">and </w:t>
      </w:r>
      <w:r w:rsidR="00351CEF">
        <w:rPr>
          <w:sz w:val="24"/>
          <w:szCs w:val="24"/>
        </w:rPr>
        <w:t xml:space="preserve">for </w:t>
      </w:r>
      <w:r w:rsidR="00CA449A">
        <w:rPr>
          <w:sz w:val="24"/>
          <w:szCs w:val="24"/>
        </w:rPr>
        <w:t xml:space="preserve">research that does not have external funding support, but has the promise of future funding.  In each of these situations, the principal investigator must provide </w:t>
      </w:r>
      <w:r w:rsidR="001B0151">
        <w:rPr>
          <w:sz w:val="24"/>
          <w:szCs w:val="24"/>
        </w:rPr>
        <w:t xml:space="preserve">the </w:t>
      </w:r>
      <w:r w:rsidR="00CA449A">
        <w:rPr>
          <w:sz w:val="24"/>
          <w:szCs w:val="24"/>
        </w:rPr>
        <w:t>stipend</w:t>
      </w:r>
      <w:r w:rsidR="001B0151">
        <w:rPr>
          <w:sz w:val="24"/>
          <w:szCs w:val="24"/>
        </w:rPr>
        <w:t>s for</w:t>
      </w:r>
      <w:r w:rsidR="00CA449A">
        <w:rPr>
          <w:sz w:val="24"/>
          <w:szCs w:val="24"/>
        </w:rPr>
        <w:t xml:space="preserve"> the graduate student</w:t>
      </w:r>
      <w:r w:rsidR="001B0151">
        <w:rPr>
          <w:sz w:val="24"/>
          <w:szCs w:val="24"/>
        </w:rPr>
        <w:t xml:space="preserve">s who receive </w:t>
      </w:r>
      <w:proofErr w:type="spellStart"/>
      <w:r w:rsidR="001B0151">
        <w:rPr>
          <w:sz w:val="24"/>
          <w:szCs w:val="24"/>
        </w:rPr>
        <w:t>GReAT</w:t>
      </w:r>
      <w:proofErr w:type="spellEnd"/>
      <w:r w:rsidR="001B0151">
        <w:rPr>
          <w:sz w:val="24"/>
          <w:szCs w:val="24"/>
        </w:rPr>
        <w:t xml:space="preserve"> funding.</w:t>
      </w:r>
    </w:p>
    <w:p w:rsidR="00E429CA" w:rsidRDefault="009751D3">
      <w:pPr>
        <w:rPr>
          <w:sz w:val="24"/>
          <w:szCs w:val="24"/>
        </w:rPr>
      </w:pPr>
      <w:r w:rsidRPr="00393420">
        <w:rPr>
          <w:sz w:val="24"/>
          <w:szCs w:val="24"/>
        </w:rPr>
        <w:t xml:space="preserve">Other sources of tuition funding </w:t>
      </w:r>
      <w:r w:rsidR="001B0151">
        <w:rPr>
          <w:sz w:val="24"/>
          <w:szCs w:val="24"/>
        </w:rPr>
        <w:t>at OU</w:t>
      </w:r>
      <w:r w:rsidRPr="00393420">
        <w:rPr>
          <w:sz w:val="24"/>
          <w:szCs w:val="24"/>
        </w:rPr>
        <w:t xml:space="preserve"> include </w:t>
      </w:r>
      <w:r w:rsidR="001B0151">
        <w:rPr>
          <w:sz w:val="24"/>
          <w:szCs w:val="24"/>
        </w:rPr>
        <w:t xml:space="preserve">the </w:t>
      </w:r>
      <w:r w:rsidR="00FD69FC" w:rsidRPr="00393420">
        <w:rPr>
          <w:sz w:val="24"/>
          <w:szCs w:val="24"/>
        </w:rPr>
        <w:t xml:space="preserve">Graduate Study Assistantship Program, </w:t>
      </w:r>
      <w:r w:rsidR="001B0151">
        <w:rPr>
          <w:sz w:val="24"/>
          <w:szCs w:val="24"/>
        </w:rPr>
        <w:t>n</w:t>
      </w:r>
      <w:r w:rsidR="00FD69FC" w:rsidRPr="00393420">
        <w:rPr>
          <w:sz w:val="24"/>
          <w:szCs w:val="24"/>
        </w:rPr>
        <w:t xml:space="preserve">ew </w:t>
      </w:r>
      <w:r w:rsidR="001B0151">
        <w:rPr>
          <w:sz w:val="24"/>
          <w:szCs w:val="24"/>
        </w:rPr>
        <w:t>p</w:t>
      </w:r>
      <w:r w:rsidR="00FD69FC" w:rsidRPr="00393420">
        <w:rPr>
          <w:sz w:val="24"/>
          <w:szCs w:val="24"/>
        </w:rPr>
        <w:t xml:space="preserve">rogram </w:t>
      </w:r>
      <w:r w:rsidR="001B0151">
        <w:rPr>
          <w:sz w:val="24"/>
          <w:szCs w:val="24"/>
        </w:rPr>
        <w:t>b</w:t>
      </w:r>
      <w:r w:rsidR="00FD69FC" w:rsidRPr="00393420">
        <w:rPr>
          <w:sz w:val="24"/>
          <w:szCs w:val="24"/>
        </w:rPr>
        <w:t xml:space="preserve">udgets, </w:t>
      </w:r>
      <w:r w:rsidR="001B0151">
        <w:rPr>
          <w:sz w:val="24"/>
          <w:szCs w:val="24"/>
        </w:rPr>
        <w:t>d</w:t>
      </w:r>
      <w:r w:rsidR="00FD69FC" w:rsidRPr="00393420">
        <w:rPr>
          <w:sz w:val="24"/>
          <w:szCs w:val="24"/>
        </w:rPr>
        <w:t xml:space="preserve">epartment and </w:t>
      </w:r>
      <w:r w:rsidR="001B0151">
        <w:rPr>
          <w:sz w:val="24"/>
          <w:szCs w:val="24"/>
        </w:rPr>
        <w:t>n</w:t>
      </w:r>
      <w:r w:rsidR="00FD69FC" w:rsidRPr="00393420">
        <w:rPr>
          <w:sz w:val="24"/>
          <w:szCs w:val="24"/>
        </w:rPr>
        <w:t>on-</w:t>
      </w:r>
      <w:r w:rsidR="001B0151">
        <w:rPr>
          <w:sz w:val="24"/>
          <w:szCs w:val="24"/>
        </w:rPr>
        <w:t>a</w:t>
      </w:r>
      <w:r w:rsidR="00FD69FC" w:rsidRPr="00393420">
        <w:rPr>
          <w:sz w:val="24"/>
          <w:szCs w:val="24"/>
        </w:rPr>
        <w:t xml:space="preserve">cademic </w:t>
      </w:r>
      <w:r w:rsidR="001B0151">
        <w:rPr>
          <w:sz w:val="24"/>
          <w:szCs w:val="24"/>
        </w:rPr>
        <w:t>u</w:t>
      </w:r>
      <w:r w:rsidR="00FD69FC" w:rsidRPr="00393420">
        <w:rPr>
          <w:sz w:val="24"/>
          <w:szCs w:val="24"/>
        </w:rPr>
        <w:t xml:space="preserve">nit </w:t>
      </w:r>
      <w:r w:rsidR="001B0151">
        <w:rPr>
          <w:sz w:val="24"/>
          <w:szCs w:val="24"/>
        </w:rPr>
        <w:t>f</w:t>
      </w:r>
      <w:r w:rsidR="00FD69FC" w:rsidRPr="00393420">
        <w:rPr>
          <w:sz w:val="24"/>
          <w:szCs w:val="24"/>
        </w:rPr>
        <w:t xml:space="preserve">unds, and King-Chavez-Parks </w:t>
      </w:r>
      <w:r w:rsidR="001B0151">
        <w:rPr>
          <w:sz w:val="24"/>
          <w:szCs w:val="24"/>
        </w:rPr>
        <w:t xml:space="preserve">(KCP) </w:t>
      </w:r>
      <w:r w:rsidR="00FD69FC" w:rsidRPr="00393420">
        <w:rPr>
          <w:sz w:val="24"/>
          <w:szCs w:val="24"/>
        </w:rPr>
        <w:t>Future Faculty Fellowships</w:t>
      </w:r>
      <w:r w:rsidR="0089592B" w:rsidRPr="00393420">
        <w:rPr>
          <w:sz w:val="24"/>
          <w:szCs w:val="24"/>
        </w:rPr>
        <w:t xml:space="preserve">. </w:t>
      </w:r>
    </w:p>
    <w:p w:rsidR="00FD69FC" w:rsidRPr="00393420" w:rsidRDefault="00FD69FC">
      <w:pPr>
        <w:rPr>
          <w:b/>
          <w:sz w:val="24"/>
          <w:szCs w:val="24"/>
        </w:rPr>
      </w:pPr>
      <w:r w:rsidRPr="00393420">
        <w:rPr>
          <w:b/>
          <w:sz w:val="24"/>
          <w:szCs w:val="24"/>
        </w:rPr>
        <w:t xml:space="preserve">The criteria to qualify </w:t>
      </w:r>
      <w:r w:rsidR="00BE7BA2">
        <w:rPr>
          <w:b/>
          <w:sz w:val="24"/>
          <w:szCs w:val="24"/>
        </w:rPr>
        <w:t xml:space="preserve">for </w:t>
      </w:r>
      <w:r w:rsidR="00AA5F2C">
        <w:rPr>
          <w:b/>
          <w:sz w:val="24"/>
          <w:szCs w:val="24"/>
        </w:rPr>
        <w:t xml:space="preserve">the </w:t>
      </w:r>
      <w:proofErr w:type="spellStart"/>
      <w:r w:rsidRPr="00393420">
        <w:rPr>
          <w:b/>
          <w:sz w:val="24"/>
          <w:szCs w:val="24"/>
        </w:rPr>
        <w:t>GReAT</w:t>
      </w:r>
      <w:proofErr w:type="spellEnd"/>
      <w:r w:rsidRPr="00393420">
        <w:rPr>
          <w:b/>
          <w:sz w:val="24"/>
          <w:szCs w:val="24"/>
        </w:rPr>
        <w:t xml:space="preserve"> </w:t>
      </w:r>
      <w:r w:rsidR="00AA5F2C">
        <w:rPr>
          <w:b/>
          <w:sz w:val="24"/>
          <w:szCs w:val="24"/>
        </w:rPr>
        <w:t>tuition award</w:t>
      </w:r>
      <w:r w:rsidRPr="00393420">
        <w:rPr>
          <w:b/>
          <w:sz w:val="24"/>
          <w:szCs w:val="24"/>
        </w:rPr>
        <w:t xml:space="preserve"> include the followings:</w:t>
      </w:r>
    </w:p>
    <w:p w:rsidR="00FD69FC" w:rsidRDefault="00FD69FC" w:rsidP="00FD69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3420">
        <w:rPr>
          <w:sz w:val="24"/>
          <w:szCs w:val="24"/>
        </w:rPr>
        <w:t xml:space="preserve">The </w:t>
      </w:r>
      <w:proofErr w:type="spellStart"/>
      <w:r w:rsidRPr="00393420">
        <w:rPr>
          <w:sz w:val="24"/>
          <w:szCs w:val="24"/>
        </w:rPr>
        <w:t>GReAT</w:t>
      </w:r>
      <w:proofErr w:type="spellEnd"/>
      <w:r w:rsidRPr="00393420">
        <w:rPr>
          <w:sz w:val="24"/>
          <w:szCs w:val="24"/>
        </w:rPr>
        <w:t xml:space="preserve"> award is to </w:t>
      </w:r>
      <w:r w:rsidR="002B1B1A">
        <w:rPr>
          <w:sz w:val="24"/>
          <w:szCs w:val="24"/>
        </w:rPr>
        <w:t>provide</w:t>
      </w:r>
      <w:r w:rsidRPr="00393420">
        <w:rPr>
          <w:sz w:val="24"/>
          <w:szCs w:val="24"/>
        </w:rPr>
        <w:t xml:space="preserve"> tuition support </w:t>
      </w:r>
      <w:r w:rsidR="00BE7BA2">
        <w:rPr>
          <w:sz w:val="24"/>
          <w:szCs w:val="24"/>
        </w:rPr>
        <w:t xml:space="preserve">for a </w:t>
      </w:r>
      <w:r w:rsidRPr="00393420">
        <w:rPr>
          <w:sz w:val="24"/>
          <w:szCs w:val="24"/>
        </w:rPr>
        <w:t>full-time (≥ 8 credits hou</w:t>
      </w:r>
      <w:r w:rsidR="0089592B" w:rsidRPr="00393420">
        <w:rPr>
          <w:sz w:val="24"/>
          <w:szCs w:val="24"/>
        </w:rPr>
        <w:t>r</w:t>
      </w:r>
      <w:r w:rsidRPr="00393420">
        <w:rPr>
          <w:sz w:val="24"/>
          <w:szCs w:val="24"/>
        </w:rPr>
        <w:t>s/semester per OU policy) graduate research assistant (GRA).</w:t>
      </w:r>
    </w:p>
    <w:p w:rsidR="00952D80" w:rsidRPr="00393420" w:rsidRDefault="00952D80" w:rsidP="00952D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3420">
        <w:rPr>
          <w:sz w:val="24"/>
          <w:szCs w:val="24"/>
        </w:rPr>
        <w:t xml:space="preserve">The </w:t>
      </w:r>
      <w:proofErr w:type="spellStart"/>
      <w:r w:rsidRPr="00393420">
        <w:rPr>
          <w:sz w:val="24"/>
          <w:szCs w:val="24"/>
        </w:rPr>
        <w:t>GReAT</w:t>
      </w:r>
      <w:proofErr w:type="spellEnd"/>
      <w:r w:rsidRPr="00393420">
        <w:rPr>
          <w:sz w:val="24"/>
          <w:szCs w:val="24"/>
        </w:rPr>
        <w:t xml:space="preserve"> award allows up to 16 credit hours per student per academic year.</w:t>
      </w:r>
    </w:p>
    <w:p w:rsidR="00952D80" w:rsidRPr="00393420" w:rsidRDefault="003A08F9" w:rsidP="00952D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52D80" w:rsidRPr="00393420">
        <w:rPr>
          <w:sz w:val="24"/>
          <w:szCs w:val="24"/>
        </w:rPr>
        <w:t>GRA must maintain at least an overall 3.0 GPA and satisf</w:t>
      </w:r>
      <w:r w:rsidR="00952D80">
        <w:rPr>
          <w:sz w:val="24"/>
          <w:szCs w:val="24"/>
        </w:rPr>
        <w:t>actory</w:t>
      </w:r>
      <w:r w:rsidR="00952D80" w:rsidRPr="00393420">
        <w:rPr>
          <w:sz w:val="24"/>
          <w:szCs w:val="24"/>
        </w:rPr>
        <w:t xml:space="preserve"> academic progress.</w:t>
      </w:r>
    </w:p>
    <w:p w:rsidR="00FD69FC" w:rsidRPr="00393420" w:rsidRDefault="00FD69FC" w:rsidP="00FD69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3420">
        <w:rPr>
          <w:sz w:val="24"/>
          <w:szCs w:val="24"/>
        </w:rPr>
        <w:t xml:space="preserve">The faculty </w:t>
      </w:r>
      <w:r w:rsidR="0060195D">
        <w:rPr>
          <w:sz w:val="24"/>
          <w:szCs w:val="24"/>
        </w:rPr>
        <w:t>adviser</w:t>
      </w:r>
      <w:r w:rsidRPr="00393420">
        <w:rPr>
          <w:sz w:val="24"/>
          <w:szCs w:val="24"/>
        </w:rPr>
        <w:t xml:space="preserve">/mentor or unit head must provide evidence that the GRA is, or will be, receiving stipend support to conduct research during the period of </w:t>
      </w:r>
      <w:proofErr w:type="spellStart"/>
      <w:r w:rsidRPr="00393420">
        <w:rPr>
          <w:sz w:val="24"/>
          <w:szCs w:val="24"/>
        </w:rPr>
        <w:t>GReAT</w:t>
      </w:r>
      <w:proofErr w:type="spellEnd"/>
      <w:r w:rsidRPr="00393420">
        <w:rPr>
          <w:sz w:val="24"/>
          <w:szCs w:val="24"/>
        </w:rPr>
        <w:t xml:space="preserve"> support.</w:t>
      </w:r>
    </w:p>
    <w:p w:rsidR="00D93F7E" w:rsidRPr="00393420" w:rsidRDefault="00D93F7E" w:rsidP="00FD69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3420">
        <w:rPr>
          <w:sz w:val="24"/>
          <w:szCs w:val="24"/>
        </w:rPr>
        <w:t xml:space="preserve">The </w:t>
      </w:r>
      <w:proofErr w:type="spellStart"/>
      <w:r w:rsidRPr="00393420">
        <w:rPr>
          <w:sz w:val="24"/>
          <w:szCs w:val="24"/>
        </w:rPr>
        <w:t>GReAT</w:t>
      </w:r>
      <w:proofErr w:type="spellEnd"/>
      <w:r w:rsidRPr="00393420">
        <w:rPr>
          <w:sz w:val="24"/>
          <w:szCs w:val="24"/>
        </w:rPr>
        <w:t xml:space="preserve"> application has to be submitted by the faculty </w:t>
      </w:r>
      <w:r w:rsidR="0060195D">
        <w:rPr>
          <w:sz w:val="24"/>
          <w:szCs w:val="24"/>
        </w:rPr>
        <w:t>adviser</w:t>
      </w:r>
      <w:r w:rsidRPr="00393420">
        <w:rPr>
          <w:sz w:val="24"/>
          <w:szCs w:val="24"/>
        </w:rPr>
        <w:t>/mentor or unit head.</w:t>
      </w:r>
    </w:p>
    <w:p w:rsidR="00FD69FC" w:rsidRPr="00393420" w:rsidRDefault="00FD69FC" w:rsidP="00FD69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3420">
        <w:rPr>
          <w:sz w:val="24"/>
          <w:szCs w:val="24"/>
        </w:rPr>
        <w:t xml:space="preserve">Teaching Assistants (TAs) and </w:t>
      </w:r>
      <w:r w:rsidR="00770482" w:rsidRPr="00393420">
        <w:rPr>
          <w:sz w:val="24"/>
          <w:szCs w:val="24"/>
        </w:rPr>
        <w:t>recipients</w:t>
      </w:r>
      <w:r w:rsidRPr="00393420">
        <w:rPr>
          <w:sz w:val="24"/>
          <w:szCs w:val="24"/>
        </w:rPr>
        <w:t xml:space="preserve"> of any other scholarships are not qualified for </w:t>
      </w:r>
      <w:proofErr w:type="spellStart"/>
      <w:r w:rsidRPr="00393420">
        <w:rPr>
          <w:sz w:val="24"/>
          <w:szCs w:val="24"/>
        </w:rPr>
        <w:t>GReAT</w:t>
      </w:r>
      <w:proofErr w:type="spellEnd"/>
      <w:r w:rsidRPr="00393420">
        <w:rPr>
          <w:sz w:val="24"/>
          <w:szCs w:val="24"/>
        </w:rPr>
        <w:t>.</w:t>
      </w:r>
    </w:p>
    <w:p w:rsidR="00BE7BA2" w:rsidRDefault="00BE7BA2" w:rsidP="00FD69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7BA2">
        <w:rPr>
          <w:sz w:val="24"/>
          <w:szCs w:val="24"/>
        </w:rPr>
        <w:t xml:space="preserve">If </w:t>
      </w:r>
      <w:r w:rsidR="001B0151">
        <w:rPr>
          <w:sz w:val="24"/>
          <w:szCs w:val="24"/>
        </w:rPr>
        <w:t xml:space="preserve">cost sharing is </w:t>
      </w:r>
      <w:r w:rsidRPr="00BE7BA2">
        <w:rPr>
          <w:sz w:val="24"/>
          <w:szCs w:val="24"/>
        </w:rPr>
        <w:t xml:space="preserve">required by the funding agency, the </w:t>
      </w:r>
      <w:r w:rsidR="001B0151">
        <w:rPr>
          <w:sz w:val="24"/>
          <w:szCs w:val="24"/>
        </w:rPr>
        <w:t>principal investigator must</w:t>
      </w:r>
      <w:r w:rsidRPr="00BE7BA2">
        <w:rPr>
          <w:sz w:val="24"/>
          <w:szCs w:val="24"/>
        </w:rPr>
        <w:t xml:space="preserve"> request tuition matching on </w:t>
      </w:r>
      <w:r w:rsidR="0004378C">
        <w:rPr>
          <w:sz w:val="24"/>
          <w:szCs w:val="24"/>
        </w:rPr>
        <w:t xml:space="preserve">the </w:t>
      </w:r>
      <w:r w:rsidR="00DD747D">
        <w:rPr>
          <w:sz w:val="24"/>
          <w:szCs w:val="24"/>
        </w:rPr>
        <w:t>O</w:t>
      </w:r>
      <w:r w:rsidR="00DE5A7A">
        <w:rPr>
          <w:sz w:val="24"/>
          <w:szCs w:val="24"/>
        </w:rPr>
        <w:t>ffice of Research Administration</w:t>
      </w:r>
      <w:r w:rsidR="00991F4D">
        <w:rPr>
          <w:sz w:val="24"/>
          <w:szCs w:val="24"/>
        </w:rPr>
        <w:t xml:space="preserve"> (ORA)</w:t>
      </w:r>
      <w:r w:rsidR="003A08F9">
        <w:rPr>
          <w:sz w:val="24"/>
          <w:szCs w:val="24"/>
        </w:rPr>
        <w:t xml:space="preserve"> Electronic Proposal Routing Application (EPRA).</w:t>
      </w:r>
      <w:r w:rsidRPr="00BE7BA2">
        <w:rPr>
          <w:sz w:val="24"/>
          <w:szCs w:val="24"/>
        </w:rPr>
        <w:t xml:space="preserve"> </w:t>
      </w:r>
    </w:p>
    <w:p w:rsidR="00162D7A" w:rsidRPr="00BE7BA2" w:rsidRDefault="00162D7A" w:rsidP="00FD69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7BA2">
        <w:rPr>
          <w:sz w:val="24"/>
          <w:szCs w:val="24"/>
        </w:rPr>
        <w:t xml:space="preserve">To continue receiving </w:t>
      </w:r>
      <w:r w:rsidR="00EF2032">
        <w:rPr>
          <w:sz w:val="24"/>
          <w:szCs w:val="24"/>
        </w:rPr>
        <w:t xml:space="preserve">a </w:t>
      </w:r>
      <w:proofErr w:type="spellStart"/>
      <w:r w:rsidRPr="00BE7BA2">
        <w:rPr>
          <w:sz w:val="24"/>
          <w:szCs w:val="24"/>
        </w:rPr>
        <w:t>GReAT</w:t>
      </w:r>
      <w:proofErr w:type="spellEnd"/>
      <w:r w:rsidRPr="00BE7BA2">
        <w:rPr>
          <w:sz w:val="24"/>
          <w:szCs w:val="24"/>
        </w:rPr>
        <w:t xml:space="preserve"> award, </w:t>
      </w:r>
      <w:r w:rsidR="00EF2032">
        <w:rPr>
          <w:sz w:val="24"/>
          <w:szCs w:val="24"/>
        </w:rPr>
        <w:t xml:space="preserve">the PI must </w:t>
      </w:r>
      <w:r w:rsidRPr="00BE7BA2">
        <w:rPr>
          <w:sz w:val="24"/>
          <w:szCs w:val="24"/>
        </w:rPr>
        <w:t xml:space="preserve">submit </w:t>
      </w:r>
      <w:r w:rsidR="00BE7BA2">
        <w:rPr>
          <w:sz w:val="24"/>
          <w:szCs w:val="24"/>
        </w:rPr>
        <w:t xml:space="preserve">the </w:t>
      </w:r>
      <w:proofErr w:type="spellStart"/>
      <w:r w:rsidRPr="00BE7BA2">
        <w:rPr>
          <w:sz w:val="24"/>
          <w:szCs w:val="24"/>
        </w:rPr>
        <w:t>GReAT</w:t>
      </w:r>
      <w:proofErr w:type="spellEnd"/>
      <w:r w:rsidRPr="00BE7BA2">
        <w:rPr>
          <w:sz w:val="24"/>
          <w:szCs w:val="24"/>
        </w:rPr>
        <w:t xml:space="preserve"> application every </w:t>
      </w:r>
      <w:r w:rsidR="0089592B" w:rsidRPr="00BE7BA2">
        <w:rPr>
          <w:sz w:val="24"/>
          <w:szCs w:val="24"/>
        </w:rPr>
        <w:t>academic year</w:t>
      </w:r>
      <w:r w:rsidRPr="00BE7BA2">
        <w:rPr>
          <w:sz w:val="24"/>
          <w:szCs w:val="24"/>
        </w:rPr>
        <w:t xml:space="preserve"> </w:t>
      </w:r>
      <w:r w:rsidR="00EF2032">
        <w:rPr>
          <w:sz w:val="24"/>
          <w:szCs w:val="24"/>
        </w:rPr>
        <w:t xml:space="preserve">in order </w:t>
      </w:r>
      <w:r w:rsidRPr="00BE7BA2">
        <w:rPr>
          <w:sz w:val="24"/>
          <w:szCs w:val="24"/>
        </w:rPr>
        <w:t xml:space="preserve">to secure the existing </w:t>
      </w:r>
      <w:r w:rsidR="003D33A3" w:rsidRPr="00BE7BA2">
        <w:rPr>
          <w:sz w:val="24"/>
          <w:szCs w:val="24"/>
        </w:rPr>
        <w:t>student</w:t>
      </w:r>
      <w:r w:rsidRPr="00BE7BA2">
        <w:rPr>
          <w:sz w:val="24"/>
          <w:szCs w:val="24"/>
        </w:rPr>
        <w:t xml:space="preserve">. </w:t>
      </w:r>
    </w:p>
    <w:p w:rsidR="007574D8" w:rsidRPr="00393420" w:rsidRDefault="0089592B" w:rsidP="00AA0108">
      <w:pPr>
        <w:spacing w:line="240" w:lineRule="auto"/>
        <w:contextualSpacing/>
        <w:rPr>
          <w:sz w:val="24"/>
          <w:szCs w:val="24"/>
        </w:rPr>
      </w:pPr>
      <w:r w:rsidRPr="00393420">
        <w:rPr>
          <w:b/>
          <w:sz w:val="24"/>
          <w:szCs w:val="24"/>
        </w:rPr>
        <w:t>Wh</w:t>
      </w:r>
      <w:r w:rsidR="007574D8" w:rsidRPr="00393420">
        <w:rPr>
          <w:b/>
          <w:sz w:val="24"/>
          <w:szCs w:val="24"/>
        </w:rPr>
        <w:t>at</w:t>
      </w:r>
      <w:r w:rsidRPr="00393420">
        <w:rPr>
          <w:b/>
          <w:sz w:val="24"/>
          <w:szCs w:val="24"/>
        </w:rPr>
        <w:t xml:space="preserve"> </w:t>
      </w:r>
      <w:r w:rsidR="007574D8" w:rsidRPr="00393420">
        <w:rPr>
          <w:b/>
          <w:sz w:val="24"/>
          <w:szCs w:val="24"/>
        </w:rPr>
        <w:t xml:space="preserve">is </w:t>
      </w:r>
      <w:r w:rsidR="00BE7BA2">
        <w:rPr>
          <w:b/>
          <w:sz w:val="24"/>
          <w:szCs w:val="24"/>
        </w:rPr>
        <w:t xml:space="preserve">a </w:t>
      </w:r>
      <w:r w:rsidR="007574D8" w:rsidRPr="00393420">
        <w:rPr>
          <w:b/>
          <w:sz w:val="24"/>
          <w:szCs w:val="24"/>
        </w:rPr>
        <w:t>graduate research assistant</w:t>
      </w:r>
      <w:r w:rsidR="00EF2032">
        <w:rPr>
          <w:b/>
          <w:sz w:val="24"/>
          <w:szCs w:val="24"/>
        </w:rPr>
        <w:t xml:space="preserve"> (GRA)</w:t>
      </w:r>
      <w:r w:rsidRPr="00393420">
        <w:rPr>
          <w:b/>
          <w:sz w:val="24"/>
          <w:szCs w:val="24"/>
        </w:rPr>
        <w:t>?</w:t>
      </w:r>
      <w:r w:rsidRPr="00393420">
        <w:rPr>
          <w:sz w:val="24"/>
          <w:szCs w:val="24"/>
        </w:rPr>
        <w:t xml:space="preserve"> </w:t>
      </w:r>
    </w:p>
    <w:p w:rsidR="0089592B" w:rsidRPr="00393420" w:rsidRDefault="00EF2032" w:rsidP="00AA010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 GRA is an </w:t>
      </w:r>
      <w:r w:rsidR="0089592B" w:rsidRPr="00393420">
        <w:rPr>
          <w:sz w:val="24"/>
          <w:szCs w:val="24"/>
        </w:rPr>
        <w:t xml:space="preserve">OU full time graduate student </w:t>
      </w:r>
      <w:r w:rsidR="00BE7BA2">
        <w:rPr>
          <w:sz w:val="24"/>
          <w:szCs w:val="24"/>
        </w:rPr>
        <w:t xml:space="preserve">that </w:t>
      </w:r>
      <w:r w:rsidR="0089592B" w:rsidRPr="00393420">
        <w:rPr>
          <w:sz w:val="24"/>
          <w:szCs w:val="24"/>
        </w:rPr>
        <w:t>meet</w:t>
      </w:r>
      <w:r>
        <w:rPr>
          <w:sz w:val="24"/>
          <w:szCs w:val="24"/>
        </w:rPr>
        <w:t>s</w:t>
      </w:r>
      <w:r w:rsidR="0089592B" w:rsidRPr="00393420">
        <w:rPr>
          <w:sz w:val="24"/>
          <w:szCs w:val="24"/>
        </w:rPr>
        <w:t xml:space="preserve"> OU</w:t>
      </w:r>
      <w:r>
        <w:rPr>
          <w:sz w:val="24"/>
          <w:szCs w:val="24"/>
        </w:rPr>
        <w:t>’s</w:t>
      </w:r>
      <w:r w:rsidR="0089592B" w:rsidRPr="00393420">
        <w:rPr>
          <w:sz w:val="24"/>
          <w:szCs w:val="24"/>
        </w:rPr>
        <w:t xml:space="preserve"> graduate assistantship program requirements. See Oakland University </w:t>
      </w:r>
      <w:hyperlink r:id="rId5" w:history="1">
        <w:r w:rsidR="0089592B" w:rsidRPr="00691A21">
          <w:rPr>
            <w:rStyle w:val="Hyperlink"/>
            <w:sz w:val="24"/>
            <w:szCs w:val="24"/>
          </w:rPr>
          <w:t xml:space="preserve">Graduate Assistantship Policy </w:t>
        </w:r>
        <w:r w:rsidR="00537A3D" w:rsidRPr="00691A21">
          <w:rPr>
            <w:rStyle w:val="Hyperlink"/>
            <w:sz w:val="24"/>
            <w:szCs w:val="24"/>
          </w:rPr>
          <w:t>G</w:t>
        </w:r>
        <w:r w:rsidR="0089592B" w:rsidRPr="00691A21">
          <w:rPr>
            <w:rStyle w:val="Hyperlink"/>
            <w:sz w:val="24"/>
            <w:szCs w:val="24"/>
          </w:rPr>
          <w:t>uidelines</w:t>
        </w:r>
      </w:hyperlink>
      <w:r w:rsidR="00537A3D" w:rsidRPr="00393420">
        <w:rPr>
          <w:sz w:val="24"/>
          <w:szCs w:val="24"/>
        </w:rPr>
        <w:t xml:space="preserve"> for details.</w:t>
      </w:r>
      <w:r w:rsidR="0089592B" w:rsidRPr="00393420">
        <w:rPr>
          <w:sz w:val="24"/>
          <w:szCs w:val="24"/>
        </w:rPr>
        <w:t xml:space="preserve"> </w:t>
      </w:r>
    </w:p>
    <w:p w:rsidR="003C56DA" w:rsidRPr="00393420" w:rsidRDefault="003C56DA" w:rsidP="00AA0108">
      <w:pPr>
        <w:spacing w:line="240" w:lineRule="auto"/>
        <w:contextualSpacing/>
        <w:rPr>
          <w:sz w:val="24"/>
          <w:szCs w:val="24"/>
        </w:rPr>
      </w:pPr>
    </w:p>
    <w:p w:rsidR="00AA0108" w:rsidRPr="00393420" w:rsidRDefault="00AA0108" w:rsidP="00AA0108">
      <w:pPr>
        <w:spacing w:line="240" w:lineRule="auto"/>
        <w:contextualSpacing/>
        <w:rPr>
          <w:b/>
          <w:sz w:val="24"/>
          <w:szCs w:val="24"/>
        </w:rPr>
      </w:pPr>
      <w:r w:rsidRPr="00393420">
        <w:rPr>
          <w:b/>
          <w:sz w:val="24"/>
          <w:szCs w:val="24"/>
        </w:rPr>
        <w:t xml:space="preserve">How to apply? </w:t>
      </w:r>
    </w:p>
    <w:p w:rsidR="00AA0108" w:rsidRPr="005D4C8F" w:rsidRDefault="00AA0108" w:rsidP="00AA0108">
      <w:pPr>
        <w:spacing w:line="240" w:lineRule="auto"/>
        <w:contextualSpacing/>
        <w:rPr>
          <w:b/>
          <w:sz w:val="24"/>
          <w:szCs w:val="24"/>
        </w:rPr>
      </w:pPr>
      <w:r w:rsidRPr="00393420">
        <w:rPr>
          <w:sz w:val="24"/>
          <w:szCs w:val="24"/>
        </w:rPr>
        <w:t xml:space="preserve">The faculty </w:t>
      </w:r>
      <w:r w:rsidR="0060195D">
        <w:rPr>
          <w:sz w:val="24"/>
          <w:szCs w:val="24"/>
        </w:rPr>
        <w:t>adviser</w:t>
      </w:r>
      <w:r w:rsidRPr="00393420">
        <w:rPr>
          <w:sz w:val="24"/>
          <w:szCs w:val="24"/>
        </w:rPr>
        <w:t xml:space="preserve">/mentor or unit head </w:t>
      </w:r>
      <w:r w:rsidR="00BE7BA2">
        <w:rPr>
          <w:sz w:val="24"/>
          <w:szCs w:val="24"/>
        </w:rPr>
        <w:t>must</w:t>
      </w:r>
      <w:r w:rsidRPr="00393420">
        <w:rPr>
          <w:sz w:val="24"/>
          <w:szCs w:val="24"/>
        </w:rPr>
        <w:t xml:space="preserve"> submit a complete</w:t>
      </w:r>
      <w:r w:rsidR="00BE7BA2">
        <w:rPr>
          <w:sz w:val="24"/>
          <w:szCs w:val="24"/>
        </w:rPr>
        <w:t>d</w:t>
      </w:r>
      <w:r w:rsidR="00B20F8D">
        <w:rPr>
          <w:sz w:val="24"/>
          <w:szCs w:val="24"/>
        </w:rPr>
        <w:t xml:space="preserve"> </w:t>
      </w:r>
      <w:proofErr w:type="spellStart"/>
      <w:r w:rsidR="005D4C8F" w:rsidRPr="00EB7032">
        <w:rPr>
          <w:sz w:val="24"/>
          <w:szCs w:val="24"/>
        </w:rPr>
        <w:t>GReAT</w:t>
      </w:r>
      <w:proofErr w:type="spellEnd"/>
      <w:r w:rsidR="005D4C8F" w:rsidRPr="00EB7032">
        <w:rPr>
          <w:sz w:val="24"/>
          <w:szCs w:val="24"/>
        </w:rPr>
        <w:t xml:space="preserve"> T</w:t>
      </w:r>
      <w:r w:rsidR="00B20F8D" w:rsidRPr="00EB7032">
        <w:rPr>
          <w:sz w:val="24"/>
          <w:szCs w:val="24"/>
        </w:rPr>
        <w:t xml:space="preserve">uition </w:t>
      </w:r>
      <w:r w:rsidR="005D4C8F" w:rsidRPr="00EB7032">
        <w:rPr>
          <w:sz w:val="24"/>
          <w:szCs w:val="24"/>
        </w:rPr>
        <w:t>F</w:t>
      </w:r>
      <w:r w:rsidR="00B20F8D" w:rsidRPr="00EB7032">
        <w:rPr>
          <w:sz w:val="24"/>
          <w:szCs w:val="24"/>
        </w:rPr>
        <w:t>orm</w:t>
      </w:r>
      <w:r w:rsidR="005D4C8F">
        <w:rPr>
          <w:sz w:val="24"/>
          <w:szCs w:val="24"/>
        </w:rPr>
        <w:t xml:space="preserve"> and email it to </w:t>
      </w:r>
      <w:hyperlink r:id="rId6" w:history="1">
        <w:r w:rsidR="005D4C8F" w:rsidRPr="0017766E">
          <w:rPr>
            <w:rStyle w:val="Hyperlink"/>
            <w:sz w:val="24"/>
            <w:szCs w:val="24"/>
          </w:rPr>
          <w:t>research@oakland.edu</w:t>
        </w:r>
      </w:hyperlink>
      <w:r w:rsidR="005D4C8F">
        <w:rPr>
          <w:sz w:val="24"/>
          <w:szCs w:val="24"/>
        </w:rPr>
        <w:t xml:space="preserve">. </w:t>
      </w:r>
    </w:p>
    <w:p w:rsidR="00AA0108" w:rsidRDefault="00AA0108" w:rsidP="00AA0108">
      <w:pPr>
        <w:spacing w:line="240" w:lineRule="auto"/>
        <w:contextualSpacing/>
        <w:rPr>
          <w:b/>
          <w:sz w:val="24"/>
          <w:szCs w:val="24"/>
        </w:rPr>
      </w:pPr>
    </w:p>
    <w:p w:rsidR="00AA5F2C" w:rsidRPr="00393420" w:rsidRDefault="00AA5F2C" w:rsidP="00AA5F2C">
      <w:pPr>
        <w:spacing w:line="240" w:lineRule="auto"/>
        <w:ind w:left="14"/>
        <w:contextualSpacing/>
        <w:rPr>
          <w:sz w:val="24"/>
          <w:szCs w:val="24"/>
        </w:rPr>
      </w:pPr>
      <w:r w:rsidRPr="00393420">
        <w:rPr>
          <w:b/>
          <w:sz w:val="24"/>
          <w:szCs w:val="24"/>
        </w:rPr>
        <w:t>Can GRA student</w:t>
      </w:r>
      <w:r>
        <w:rPr>
          <w:b/>
          <w:sz w:val="24"/>
          <w:szCs w:val="24"/>
        </w:rPr>
        <w:t>s</w:t>
      </w:r>
      <w:r w:rsidRPr="00393420">
        <w:rPr>
          <w:b/>
          <w:sz w:val="24"/>
          <w:szCs w:val="24"/>
        </w:rPr>
        <w:t xml:space="preserve"> receive </w:t>
      </w:r>
      <w:r>
        <w:rPr>
          <w:b/>
          <w:sz w:val="24"/>
          <w:szCs w:val="24"/>
        </w:rPr>
        <w:t xml:space="preserve">the </w:t>
      </w:r>
      <w:proofErr w:type="spellStart"/>
      <w:r w:rsidRPr="00393420">
        <w:rPr>
          <w:b/>
          <w:sz w:val="24"/>
          <w:szCs w:val="24"/>
        </w:rPr>
        <w:t>GReAT</w:t>
      </w:r>
      <w:proofErr w:type="spellEnd"/>
      <w:r w:rsidRPr="00393420">
        <w:rPr>
          <w:b/>
          <w:sz w:val="24"/>
          <w:szCs w:val="24"/>
        </w:rPr>
        <w:t xml:space="preserve"> tuition award without </w:t>
      </w:r>
      <w:r>
        <w:rPr>
          <w:b/>
          <w:sz w:val="24"/>
          <w:szCs w:val="24"/>
        </w:rPr>
        <w:t xml:space="preserve">a </w:t>
      </w:r>
      <w:r w:rsidRPr="00393420">
        <w:rPr>
          <w:b/>
          <w:sz w:val="24"/>
          <w:szCs w:val="24"/>
        </w:rPr>
        <w:t>stipend?</w:t>
      </w:r>
      <w:r w:rsidRPr="00393420">
        <w:rPr>
          <w:sz w:val="24"/>
          <w:szCs w:val="24"/>
        </w:rPr>
        <w:t xml:space="preserve"> </w:t>
      </w:r>
    </w:p>
    <w:p w:rsidR="00AA5F2C" w:rsidRDefault="00AA5F2C" w:rsidP="00AA5F2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The stipend</w:t>
      </w:r>
      <w:r w:rsidRPr="00393420">
        <w:rPr>
          <w:sz w:val="24"/>
          <w:szCs w:val="24"/>
        </w:rPr>
        <w:t xml:space="preserve"> must be part of</w:t>
      </w:r>
      <w:r>
        <w:rPr>
          <w:sz w:val="24"/>
          <w:szCs w:val="24"/>
        </w:rPr>
        <w:t xml:space="preserve"> the</w:t>
      </w:r>
      <w:r w:rsidR="001B0151">
        <w:rPr>
          <w:sz w:val="24"/>
          <w:szCs w:val="24"/>
        </w:rPr>
        <w:t xml:space="preserve"> GA agreement (</w:t>
      </w:r>
      <w:r w:rsidRPr="00393420">
        <w:rPr>
          <w:sz w:val="24"/>
          <w:szCs w:val="24"/>
        </w:rPr>
        <w:t>see OU GA Policy Guidelines</w:t>
      </w:r>
      <w:r w:rsidR="001B0151">
        <w:rPr>
          <w:sz w:val="24"/>
          <w:szCs w:val="24"/>
        </w:rPr>
        <w:t>), and the s</w:t>
      </w:r>
      <w:r w:rsidR="00EF2032">
        <w:rPr>
          <w:sz w:val="24"/>
          <w:szCs w:val="24"/>
        </w:rPr>
        <w:t>tipend funding source</w:t>
      </w:r>
      <w:r w:rsidR="001B0151">
        <w:rPr>
          <w:sz w:val="24"/>
          <w:szCs w:val="24"/>
        </w:rPr>
        <w:t xml:space="preserve"> must be identified</w:t>
      </w:r>
      <w:r w:rsidR="00EF2032">
        <w:rPr>
          <w:sz w:val="24"/>
          <w:szCs w:val="24"/>
        </w:rPr>
        <w:t xml:space="preserve"> (criterion #4 above).</w:t>
      </w:r>
    </w:p>
    <w:p w:rsidR="00AA5F2C" w:rsidRPr="00393420" w:rsidRDefault="00AA5F2C" w:rsidP="00AA5F2C">
      <w:pPr>
        <w:spacing w:line="240" w:lineRule="auto"/>
        <w:contextualSpacing/>
        <w:rPr>
          <w:b/>
          <w:sz w:val="24"/>
          <w:szCs w:val="24"/>
        </w:rPr>
      </w:pPr>
    </w:p>
    <w:p w:rsidR="0089592B" w:rsidRDefault="00770482" w:rsidP="00B20F8D">
      <w:pPr>
        <w:spacing w:line="240" w:lineRule="auto"/>
        <w:contextualSpacing/>
        <w:rPr>
          <w:b/>
          <w:sz w:val="24"/>
          <w:szCs w:val="24"/>
        </w:rPr>
      </w:pPr>
      <w:r w:rsidRPr="00B20F8D">
        <w:rPr>
          <w:b/>
          <w:sz w:val="24"/>
          <w:szCs w:val="24"/>
        </w:rPr>
        <w:t xml:space="preserve">When </w:t>
      </w:r>
      <w:r w:rsidR="00BE7BA2" w:rsidRPr="00B20F8D">
        <w:rPr>
          <w:b/>
          <w:sz w:val="24"/>
          <w:szCs w:val="24"/>
        </w:rPr>
        <w:t>are</w:t>
      </w:r>
      <w:r w:rsidRPr="00B20F8D">
        <w:rPr>
          <w:b/>
          <w:sz w:val="24"/>
          <w:szCs w:val="24"/>
        </w:rPr>
        <w:t xml:space="preserve"> the application deadline</w:t>
      </w:r>
      <w:r w:rsidR="002926E9" w:rsidRPr="00B20F8D">
        <w:rPr>
          <w:b/>
          <w:sz w:val="24"/>
          <w:szCs w:val="24"/>
        </w:rPr>
        <w:t>s</w:t>
      </w:r>
      <w:r w:rsidRPr="00B20F8D">
        <w:rPr>
          <w:b/>
          <w:sz w:val="24"/>
          <w:szCs w:val="24"/>
        </w:rPr>
        <w:t xml:space="preserve">? </w:t>
      </w:r>
    </w:p>
    <w:p w:rsidR="00B20F8D" w:rsidRPr="00B20F8D" w:rsidRDefault="00B20F8D" w:rsidP="00B20F8D">
      <w:pPr>
        <w:spacing w:line="240" w:lineRule="auto"/>
        <w:contextualSpacing/>
        <w:rPr>
          <w:b/>
          <w:sz w:val="24"/>
          <w:szCs w:val="24"/>
        </w:rPr>
      </w:pPr>
    </w:p>
    <w:tbl>
      <w:tblPr>
        <w:tblW w:w="47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"/>
        <w:gridCol w:w="2433"/>
        <w:gridCol w:w="2561"/>
        <w:gridCol w:w="2059"/>
      </w:tblGrid>
      <w:tr w:rsidR="00090BED" w:rsidRPr="00B20F8D" w:rsidTr="00C67EE5">
        <w:trPr>
          <w:trHeight w:val="755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70482" w:rsidRPr="00B20F8D" w:rsidRDefault="00770482" w:rsidP="00B1052A">
            <w:pPr>
              <w:jc w:val="center"/>
              <w:rPr>
                <w:rFonts w:ascii="Arial" w:eastAsia="Batang" w:hAnsi="Arial" w:cs="Arial"/>
                <w:b/>
                <w:lang w:eastAsia="ko-KR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0482" w:rsidRPr="00B20F8D" w:rsidRDefault="00770482" w:rsidP="00853E3C">
            <w:pPr>
              <w:spacing w:after="0"/>
              <w:jc w:val="center"/>
              <w:rPr>
                <w:rFonts w:ascii="Arial" w:eastAsia="Batang" w:hAnsi="Arial" w:cs="Arial"/>
                <w:b/>
                <w:lang w:eastAsia="ko-KR"/>
              </w:rPr>
            </w:pPr>
            <w:r w:rsidRPr="00B20F8D">
              <w:rPr>
                <w:rFonts w:ascii="Arial" w:eastAsia="Batang" w:hAnsi="Arial" w:cs="Arial"/>
                <w:b/>
                <w:lang w:eastAsia="ko-KR"/>
              </w:rPr>
              <w:t>Submission</w:t>
            </w:r>
          </w:p>
          <w:p w:rsidR="00770482" w:rsidRPr="00B20F8D" w:rsidRDefault="00770482" w:rsidP="00853E3C">
            <w:pPr>
              <w:spacing w:after="0"/>
              <w:jc w:val="center"/>
              <w:rPr>
                <w:rFonts w:ascii="Arial" w:eastAsia="Batang" w:hAnsi="Arial" w:cs="Arial"/>
                <w:b/>
                <w:lang w:eastAsia="ko-KR"/>
              </w:rPr>
            </w:pPr>
            <w:r w:rsidRPr="00B20F8D">
              <w:rPr>
                <w:rFonts w:ascii="Arial" w:eastAsia="Batang" w:hAnsi="Arial" w:cs="Arial"/>
                <w:b/>
                <w:lang w:eastAsia="ko-KR"/>
              </w:rPr>
              <w:t>Deadline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0482" w:rsidRPr="00B20F8D" w:rsidRDefault="00770482" w:rsidP="00853E3C">
            <w:pPr>
              <w:spacing w:after="0"/>
              <w:jc w:val="center"/>
              <w:rPr>
                <w:rFonts w:ascii="Arial" w:eastAsia="Batang" w:hAnsi="Arial" w:cs="Arial"/>
                <w:b/>
                <w:lang w:eastAsia="ko-KR"/>
              </w:rPr>
            </w:pPr>
            <w:r w:rsidRPr="00B20F8D">
              <w:rPr>
                <w:rFonts w:ascii="Arial" w:eastAsia="Batang" w:hAnsi="Arial" w:cs="Arial"/>
                <w:b/>
                <w:lang w:eastAsia="ko-KR"/>
              </w:rPr>
              <w:t>Graduate Study</w:t>
            </w:r>
          </w:p>
          <w:p w:rsidR="00770482" w:rsidRPr="00B20F8D" w:rsidRDefault="00770482" w:rsidP="00853E3C">
            <w:pPr>
              <w:spacing w:after="0"/>
              <w:jc w:val="center"/>
              <w:rPr>
                <w:rFonts w:ascii="Arial" w:eastAsia="Batang" w:hAnsi="Arial" w:cs="Arial"/>
                <w:b/>
                <w:lang w:eastAsia="ko-KR"/>
              </w:rPr>
            </w:pPr>
            <w:r w:rsidRPr="00B20F8D">
              <w:rPr>
                <w:rFonts w:ascii="Arial" w:eastAsia="Batang" w:hAnsi="Arial" w:cs="Arial"/>
                <w:b/>
                <w:lang w:eastAsia="ko-KR"/>
              </w:rPr>
              <w:t>Review &amp; Approval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70482" w:rsidRPr="00B20F8D" w:rsidRDefault="00DD747D" w:rsidP="00853E3C">
            <w:pPr>
              <w:spacing w:after="0"/>
              <w:jc w:val="center"/>
              <w:rPr>
                <w:rFonts w:ascii="Arial" w:eastAsia="Batang" w:hAnsi="Arial" w:cs="Arial"/>
                <w:b/>
                <w:lang w:eastAsia="ko-KR"/>
              </w:rPr>
            </w:pPr>
            <w:r>
              <w:rPr>
                <w:rFonts w:ascii="Arial" w:eastAsia="Batang" w:hAnsi="Arial" w:cs="Arial"/>
                <w:b/>
                <w:lang w:eastAsia="ko-KR"/>
              </w:rPr>
              <w:t>ORA</w:t>
            </w:r>
          </w:p>
          <w:p w:rsidR="00770482" w:rsidRPr="00B20F8D" w:rsidRDefault="00770482" w:rsidP="00853E3C">
            <w:pPr>
              <w:spacing w:after="0"/>
              <w:jc w:val="center"/>
              <w:rPr>
                <w:rFonts w:ascii="Arial" w:eastAsia="Batang" w:hAnsi="Arial" w:cs="Arial"/>
                <w:b/>
                <w:lang w:eastAsia="ko-KR"/>
              </w:rPr>
            </w:pPr>
            <w:r w:rsidRPr="00B20F8D">
              <w:rPr>
                <w:rFonts w:ascii="Arial" w:eastAsia="Batang" w:hAnsi="Arial" w:cs="Arial"/>
                <w:b/>
                <w:lang w:eastAsia="ko-KR"/>
              </w:rPr>
              <w:t>Recommendation</w:t>
            </w:r>
          </w:p>
        </w:tc>
      </w:tr>
      <w:tr w:rsidR="00090BED" w:rsidRPr="00B20F8D" w:rsidTr="00AA5F2C">
        <w:trPr>
          <w:trHeight w:val="638"/>
          <w:jc w:val="center"/>
        </w:trPr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</w:tcPr>
          <w:p w:rsidR="00770482" w:rsidRPr="00B20F8D" w:rsidRDefault="00770482" w:rsidP="00770482">
            <w:pPr>
              <w:jc w:val="center"/>
              <w:rPr>
                <w:rFonts w:ascii="Arial" w:eastAsia="Batang" w:hAnsi="Arial" w:cs="Arial"/>
                <w:lang w:eastAsia="ko-KR"/>
              </w:rPr>
            </w:pPr>
            <w:r w:rsidRPr="00B20F8D">
              <w:rPr>
                <w:rFonts w:ascii="Arial" w:eastAsia="Batang" w:hAnsi="Arial" w:cs="Arial"/>
                <w:lang w:eastAsia="ko-KR"/>
              </w:rPr>
              <w:t>Fall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82" w:rsidRPr="00B20F8D" w:rsidRDefault="0017492F" w:rsidP="00C67EE5">
            <w:pPr>
              <w:spacing w:after="0"/>
              <w:jc w:val="center"/>
              <w:rPr>
                <w:rFonts w:ascii="Arial" w:eastAsia="Batang" w:hAnsi="Arial" w:cs="Arial"/>
                <w:lang w:eastAsia="ko-KR"/>
              </w:rPr>
            </w:pPr>
            <w:r>
              <w:rPr>
                <w:rFonts w:ascii="Arial" w:eastAsia="Batang" w:hAnsi="Arial" w:cs="Arial"/>
                <w:lang w:eastAsia="ko-KR"/>
              </w:rPr>
              <w:t>3</w:t>
            </w:r>
            <w:r>
              <w:rPr>
                <w:rFonts w:ascii="Arial" w:eastAsia="Batang" w:hAnsi="Arial" w:cs="Arial"/>
                <w:vertAlign w:val="superscript"/>
                <w:lang w:eastAsia="ko-KR"/>
              </w:rPr>
              <w:t>rd</w:t>
            </w:r>
            <w:r w:rsidRPr="00B20F8D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770482" w:rsidRPr="004D0844">
              <w:rPr>
                <w:rFonts w:ascii="Arial" w:eastAsia="Batang" w:hAnsi="Arial" w:cs="Arial"/>
                <w:vertAlign w:val="superscript"/>
                <w:lang w:eastAsia="ko-KR"/>
              </w:rPr>
              <w:t xml:space="preserve"> </w:t>
            </w:r>
            <w:r w:rsidR="00770482" w:rsidRPr="00B20F8D">
              <w:rPr>
                <w:rFonts w:ascii="Arial" w:eastAsia="Batang" w:hAnsi="Arial" w:cs="Arial"/>
                <w:lang w:eastAsia="ko-KR"/>
              </w:rPr>
              <w:t>Monday of</w:t>
            </w:r>
          </w:p>
          <w:p w:rsidR="00770482" w:rsidRPr="00B20F8D" w:rsidRDefault="00C549E3" w:rsidP="00C549E3">
            <w:pPr>
              <w:spacing w:after="0"/>
              <w:jc w:val="center"/>
              <w:rPr>
                <w:rFonts w:ascii="Arial" w:eastAsia="Batang" w:hAnsi="Arial" w:cs="Arial"/>
                <w:lang w:eastAsia="ko-KR"/>
              </w:rPr>
            </w:pPr>
            <w:r>
              <w:rPr>
                <w:rFonts w:ascii="Arial" w:eastAsia="Batang" w:hAnsi="Arial" w:cs="Arial"/>
                <w:lang w:eastAsia="ko-KR"/>
              </w:rPr>
              <w:t>March</w:t>
            </w:r>
            <w:r w:rsidR="00770482" w:rsidRPr="00B20F8D">
              <w:rPr>
                <w:rFonts w:ascii="Arial" w:eastAsia="Batang" w:hAnsi="Arial" w:cs="Arial"/>
                <w:lang w:eastAsia="ko-KR"/>
              </w:rPr>
              <w:t xml:space="preserve"> (</w:t>
            </w:r>
            <w:r w:rsidR="00770482" w:rsidRPr="00B20F8D">
              <w:rPr>
                <w:rFonts w:ascii="Arial" w:eastAsia="Batang" w:hAnsi="Arial" w:cs="Arial"/>
                <w:i/>
                <w:lang w:eastAsia="ko-KR"/>
              </w:rPr>
              <w:t xml:space="preserve">or </w:t>
            </w:r>
            <w:r>
              <w:rPr>
                <w:rFonts w:ascii="Arial" w:eastAsia="Batang" w:hAnsi="Arial" w:cs="Arial"/>
                <w:i/>
                <w:lang w:eastAsia="ko-KR"/>
              </w:rPr>
              <w:t>May</w:t>
            </w:r>
            <w:r w:rsidR="00770482" w:rsidRPr="00B20F8D">
              <w:rPr>
                <w:rFonts w:ascii="Arial" w:eastAsia="Batang" w:hAnsi="Arial" w:cs="Arial"/>
                <w:lang w:eastAsia="ko-KR"/>
              </w:rPr>
              <w:t>*)</w:t>
            </w:r>
          </w:p>
        </w:tc>
        <w:tc>
          <w:tcPr>
            <w:tcW w:w="1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482" w:rsidRPr="00B20F8D" w:rsidRDefault="0017492F" w:rsidP="00C67EE5">
            <w:pPr>
              <w:spacing w:after="0"/>
              <w:jc w:val="center"/>
              <w:rPr>
                <w:rFonts w:ascii="Arial" w:eastAsia="Batang" w:hAnsi="Arial" w:cs="Arial"/>
                <w:lang w:eastAsia="ko-KR"/>
              </w:rPr>
            </w:pPr>
            <w:r>
              <w:rPr>
                <w:rFonts w:ascii="Arial" w:eastAsia="Batang" w:hAnsi="Arial" w:cs="Arial"/>
                <w:lang w:eastAsia="ko-KR"/>
              </w:rPr>
              <w:t>4</w:t>
            </w:r>
            <w:r w:rsidRPr="0017492F">
              <w:rPr>
                <w:rFonts w:ascii="Arial" w:eastAsia="Batang" w:hAnsi="Arial" w:cs="Arial"/>
                <w:vertAlign w:val="superscript"/>
                <w:lang w:eastAsia="ko-KR"/>
              </w:rPr>
              <w:t>th</w:t>
            </w:r>
            <w:r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770482" w:rsidRPr="00B20F8D">
              <w:rPr>
                <w:rFonts w:ascii="Arial" w:eastAsia="Batang" w:hAnsi="Arial" w:cs="Arial"/>
                <w:lang w:eastAsia="ko-KR"/>
              </w:rPr>
              <w:t>Monday of</w:t>
            </w:r>
          </w:p>
          <w:p w:rsidR="00770482" w:rsidRPr="00B20F8D" w:rsidRDefault="0096536D" w:rsidP="0096536D">
            <w:pPr>
              <w:spacing w:after="0"/>
              <w:jc w:val="center"/>
              <w:rPr>
                <w:rFonts w:ascii="Arial" w:eastAsia="Batang" w:hAnsi="Arial" w:cs="Arial"/>
                <w:lang w:eastAsia="ko-KR"/>
              </w:rPr>
            </w:pPr>
            <w:r>
              <w:rPr>
                <w:rFonts w:ascii="Arial" w:eastAsia="Batang" w:hAnsi="Arial" w:cs="Arial"/>
                <w:lang w:eastAsia="ko-KR"/>
              </w:rPr>
              <w:t>March</w:t>
            </w:r>
            <w:r w:rsidR="00770482" w:rsidRPr="00B20F8D">
              <w:rPr>
                <w:rFonts w:ascii="Arial" w:eastAsia="Batang" w:hAnsi="Arial" w:cs="Arial"/>
                <w:lang w:eastAsia="ko-KR"/>
              </w:rPr>
              <w:t xml:space="preserve"> (</w:t>
            </w:r>
            <w:r w:rsidR="00770482" w:rsidRPr="00B20F8D">
              <w:rPr>
                <w:rFonts w:ascii="Arial" w:eastAsia="Batang" w:hAnsi="Arial" w:cs="Arial"/>
                <w:i/>
                <w:lang w:eastAsia="ko-KR"/>
              </w:rPr>
              <w:t xml:space="preserve">or </w:t>
            </w:r>
            <w:r>
              <w:rPr>
                <w:rFonts w:ascii="Arial" w:eastAsia="Batang" w:hAnsi="Arial" w:cs="Arial"/>
                <w:i/>
                <w:lang w:eastAsia="ko-KR"/>
              </w:rPr>
              <w:t>May</w:t>
            </w:r>
            <w:r w:rsidR="00770482" w:rsidRPr="00B20F8D">
              <w:rPr>
                <w:rFonts w:ascii="Arial" w:eastAsia="Batang" w:hAnsi="Arial" w:cs="Arial"/>
                <w:lang w:eastAsia="ko-KR"/>
              </w:rPr>
              <w:t>*)</w:t>
            </w:r>
          </w:p>
        </w:tc>
        <w:tc>
          <w:tcPr>
            <w:tcW w:w="120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0482" w:rsidRPr="00B20F8D" w:rsidRDefault="00770482" w:rsidP="00C67EE5">
            <w:pPr>
              <w:spacing w:after="0"/>
              <w:jc w:val="center"/>
              <w:rPr>
                <w:rFonts w:ascii="Arial" w:eastAsia="Batang" w:hAnsi="Arial" w:cs="Arial"/>
                <w:lang w:eastAsia="ko-KR"/>
              </w:rPr>
            </w:pPr>
            <w:r w:rsidRPr="00B20F8D">
              <w:rPr>
                <w:rFonts w:ascii="Arial" w:eastAsia="Batang" w:hAnsi="Arial" w:cs="Arial"/>
                <w:lang w:eastAsia="ko-KR"/>
              </w:rPr>
              <w:t>1</w:t>
            </w:r>
            <w:r w:rsidRPr="00B20F8D">
              <w:rPr>
                <w:rFonts w:ascii="Arial" w:eastAsia="Batang" w:hAnsi="Arial" w:cs="Arial"/>
                <w:vertAlign w:val="superscript"/>
                <w:lang w:eastAsia="ko-KR"/>
              </w:rPr>
              <w:t>st</w:t>
            </w:r>
            <w:r w:rsidRPr="00B20F8D">
              <w:rPr>
                <w:rFonts w:ascii="Arial" w:eastAsia="Batang" w:hAnsi="Arial" w:cs="Arial"/>
                <w:lang w:eastAsia="ko-KR"/>
              </w:rPr>
              <w:t xml:space="preserve"> Monday of</w:t>
            </w:r>
          </w:p>
          <w:p w:rsidR="00770482" w:rsidRPr="00B20F8D" w:rsidRDefault="0096536D" w:rsidP="0096536D">
            <w:pPr>
              <w:spacing w:after="0"/>
              <w:jc w:val="center"/>
              <w:rPr>
                <w:rFonts w:ascii="Arial" w:eastAsia="Batang" w:hAnsi="Arial" w:cs="Arial"/>
                <w:lang w:eastAsia="ko-KR"/>
              </w:rPr>
            </w:pPr>
            <w:r>
              <w:rPr>
                <w:rFonts w:ascii="Arial" w:eastAsia="Batang" w:hAnsi="Arial" w:cs="Arial"/>
                <w:lang w:eastAsia="ko-KR"/>
              </w:rPr>
              <w:t>April</w:t>
            </w:r>
            <w:r w:rsidR="00770482" w:rsidRPr="00B20F8D">
              <w:rPr>
                <w:rFonts w:ascii="Arial" w:eastAsia="Batang" w:hAnsi="Arial" w:cs="Arial"/>
                <w:lang w:eastAsia="ko-KR"/>
              </w:rPr>
              <w:t xml:space="preserve"> (</w:t>
            </w:r>
            <w:r w:rsidR="00770482" w:rsidRPr="00B20F8D">
              <w:rPr>
                <w:rFonts w:ascii="Arial" w:eastAsia="Batang" w:hAnsi="Arial" w:cs="Arial"/>
                <w:i/>
                <w:lang w:eastAsia="ko-KR"/>
              </w:rPr>
              <w:t>or Ju</w:t>
            </w:r>
            <w:r>
              <w:rPr>
                <w:rFonts w:ascii="Arial" w:eastAsia="Batang" w:hAnsi="Arial" w:cs="Arial"/>
                <w:i/>
                <w:lang w:eastAsia="ko-KR"/>
              </w:rPr>
              <w:t>ne</w:t>
            </w:r>
            <w:r w:rsidR="00770482" w:rsidRPr="00B20F8D">
              <w:rPr>
                <w:rFonts w:ascii="Arial" w:eastAsia="Batang" w:hAnsi="Arial" w:cs="Arial"/>
                <w:lang w:eastAsia="ko-KR"/>
              </w:rPr>
              <w:t>*)</w:t>
            </w:r>
          </w:p>
        </w:tc>
      </w:tr>
      <w:tr w:rsidR="00090BED" w:rsidRPr="00B20F8D" w:rsidTr="00AA5F2C">
        <w:trPr>
          <w:trHeight w:val="353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482" w:rsidRPr="00B20F8D" w:rsidRDefault="00770482" w:rsidP="00B1052A">
            <w:pPr>
              <w:jc w:val="center"/>
              <w:rPr>
                <w:rFonts w:ascii="Arial" w:eastAsia="Batang" w:hAnsi="Arial" w:cs="Arial"/>
                <w:lang w:eastAsia="ko-KR"/>
              </w:rPr>
            </w:pPr>
            <w:r w:rsidRPr="00B20F8D">
              <w:rPr>
                <w:rFonts w:ascii="Arial" w:eastAsia="Batang" w:hAnsi="Arial" w:cs="Arial"/>
                <w:lang w:eastAsia="ko-KR"/>
              </w:rPr>
              <w:t>Winter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536D" w:rsidRDefault="00C549E3" w:rsidP="00C67EE5">
            <w:pPr>
              <w:spacing w:after="0"/>
              <w:jc w:val="center"/>
              <w:rPr>
                <w:rFonts w:ascii="Arial" w:eastAsia="Batang" w:hAnsi="Arial" w:cs="Arial"/>
                <w:lang w:eastAsia="ko-KR"/>
              </w:rPr>
            </w:pPr>
            <w:r>
              <w:rPr>
                <w:rFonts w:ascii="Arial" w:eastAsia="Batang" w:hAnsi="Arial" w:cs="Arial"/>
                <w:lang w:eastAsia="ko-KR"/>
              </w:rPr>
              <w:t>2</w:t>
            </w:r>
            <w:r w:rsidRPr="00C549E3">
              <w:rPr>
                <w:rFonts w:ascii="Arial" w:eastAsia="Batang" w:hAnsi="Arial" w:cs="Arial"/>
                <w:vertAlign w:val="superscript"/>
                <w:lang w:eastAsia="ko-KR"/>
              </w:rPr>
              <w:t>nd</w:t>
            </w:r>
            <w:r w:rsidR="003D25E7" w:rsidRPr="00B20F8D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770482" w:rsidRPr="00B20F8D">
              <w:rPr>
                <w:rFonts w:ascii="Arial" w:eastAsia="Batang" w:hAnsi="Arial" w:cs="Arial"/>
                <w:lang w:eastAsia="ko-KR"/>
              </w:rPr>
              <w:t xml:space="preserve">Monday of </w:t>
            </w:r>
          </w:p>
          <w:p w:rsidR="00770482" w:rsidRPr="00B20F8D" w:rsidRDefault="0004500A" w:rsidP="00C67EE5">
            <w:pPr>
              <w:spacing w:after="0"/>
              <w:jc w:val="center"/>
              <w:rPr>
                <w:rFonts w:ascii="Arial" w:eastAsia="Batang" w:hAnsi="Arial" w:cs="Arial"/>
                <w:lang w:eastAsia="ko-KR"/>
              </w:rPr>
            </w:pPr>
            <w:r>
              <w:rPr>
                <w:rFonts w:ascii="Arial" w:eastAsia="Batang" w:hAnsi="Arial" w:cs="Arial"/>
                <w:lang w:eastAsia="ko-KR"/>
              </w:rPr>
              <w:t>Septem</w:t>
            </w:r>
            <w:r w:rsidR="00770482" w:rsidRPr="00B20F8D">
              <w:rPr>
                <w:rFonts w:ascii="Arial" w:eastAsia="Batang" w:hAnsi="Arial" w:cs="Arial"/>
                <w:lang w:eastAsia="ko-KR"/>
              </w:rPr>
              <w:t>ber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6D" w:rsidRDefault="0096536D" w:rsidP="0096536D">
            <w:pPr>
              <w:spacing w:after="0"/>
              <w:jc w:val="center"/>
              <w:rPr>
                <w:rFonts w:ascii="Arial" w:eastAsia="Batang" w:hAnsi="Arial" w:cs="Arial"/>
                <w:lang w:eastAsia="ko-KR"/>
              </w:rPr>
            </w:pPr>
            <w:r>
              <w:rPr>
                <w:rFonts w:ascii="Arial" w:eastAsia="Batang" w:hAnsi="Arial" w:cs="Arial"/>
                <w:lang w:eastAsia="ko-KR"/>
              </w:rPr>
              <w:t>4</w:t>
            </w:r>
            <w:r w:rsidR="0017492F" w:rsidRPr="0017492F">
              <w:rPr>
                <w:rFonts w:ascii="Arial" w:eastAsia="Batang" w:hAnsi="Arial" w:cs="Arial"/>
                <w:vertAlign w:val="superscript"/>
                <w:lang w:eastAsia="ko-KR"/>
              </w:rPr>
              <w:t>th</w:t>
            </w:r>
            <w:r w:rsidR="0017492F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770482" w:rsidRPr="00B20F8D">
              <w:rPr>
                <w:rFonts w:ascii="Arial" w:eastAsia="Batang" w:hAnsi="Arial" w:cs="Arial"/>
                <w:lang w:eastAsia="ko-KR"/>
              </w:rPr>
              <w:t xml:space="preserve">Monday of </w:t>
            </w:r>
          </w:p>
          <w:p w:rsidR="00770482" w:rsidRPr="00B20F8D" w:rsidRDefault="0004500A" w:rsidP="0096536D">
            <w:pPr>
              <w:spacing w:after="0"/>
              <w:jc w:val="center"/>
              <w:rPr>
                <w:rFonts w:ascii="Arial" w:eastAsia="Batang" w:hAnsi="Arial" w:cs="Arial"/>
                <w:lang w:eastAsia="ko-KR"/>
              </w:rPr>
            </w:pPr>
            <w:r>
              <w:rPr>
                <w:rFonts w:ascii="Arial" w:eastAsia="Batang" w:hAnsi="Arial" w:cs="Arial"/>
                <w:lang w:eastAsia="ko-KR"/>
              </w:rPr>
              <w:t>Septem</w:t>
            </w:r>
            <w:r w:rsidR="0096536D">
              <w:rPr>
                <w:rFonts w:ascii="Arial" w:eastAsia="Batang" w:hAnsi="Arial" w:cs="Arial"/>
                <w:lang w:eastAsia="ko-KR"/>
              </w:rPr>
              <w:t>ber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482" w:rsidRPr="00B20F8D" w:rsidRDefault="00770482" w:rsidP="00C67EE5">
            <w:pPr>
              <w:spacing w:after="0"/>
              <w:jc w:val="center"/>
              <w:rPr>
                <w:rFonts w:ascii="Arial" w:eastAsia="Batang" w:hAnsi="Arial" w:cs="Arial"/>
                <w:lang w:eastAsia="ko-KR"/>
              </w:rPr>
            </w:pPr>
            <w:r w:rsidRPr="00B20F8D">
              <w:rPr>
                <w:rFonts w:ascii="Arial" w:eastAsia="Batang" w:hAnsi="Arial" w:cs="Arial"/>
                <w:lang w:eastAsia="ko-KR"/>
              </w:rPr>
              <w:t>1</w:t>
            </w:r>
            <w:r w:rsidRPr="00B20F8D">
              <w:rPr>
                <w:rFonts w:ascii="Arial" w:eastAsia="Batang" w:hAnsi="Arial" w:cs="Arial"/>
                <w:vertAlign w:val="superscript"/>
                <w:lang w:eastAsia="ko-KR"/>
              </w:rPr>
              <w:t>st</w:t>
            </w:r>
            <w:r w:rsidRPr="00B20F8D">
              <w:rPr>
                <w:rFonts w:ascii="Arial" w:eastAsia="Batang" w:hAnsi="Arial" w:cs="Arial"/>
                <w:lang w:eastAsia="ko-KR"/>
              </w:rPr>
              <w:t xml:space="preserve"> Monday of</w:t>
            </w:r>
          </w:p>
          <w:p w:rsidR="00770482" w:rsidRPr="00B20F8D" w:rsidRDefault="0004500A" w:rsidP="0096536D">
            <w:pPr>
              <w:spacing w:after="0"/>
              <w:jc w:val="center"/>
              <w:rPr>
                <w:rFonts w:ascii="Arial" w:eastAsia="Batang" w:hAnsi="Arial" w:cs="Arial"/>
                <w:lang w:eastAsia="ko-KR"/>
              </w:rPr>
            </w:pPr>
            <w:r>
              <w:rPr>
                <w:rFonts w:ascii="Arial" w:eastAsia="Batang" w:hAnsi="Arial" w:cs="Arial"/>
                <w:lang w:eastAsia="ko-KR"/>
              </w:rPr>
              <w:t>Octo</w:t>
            </w:r>
            <w:r w:rsidR="0096536D">
              <w:rPr>
                <w:rFonts w:ascii="Arial" w:eastAsia="Batang" w:hAnsi="Arial" w:cs="Arial"/>
                <w:lang w:eastAsia="ko-KR"/>
              </w:rPr>
              <w:t>ber</w:t>
            </w:r>
          </w:p>
        </w:tc>
      </w:tr>
    </w:tbl>
    <w:p w:rsidR="00956D02" w:rsidRPr="00393420" w:rsidRDefault="00090BED" w:rsidP="001A22BF">
      <w:pPr>
        <w:ind w:left="14"/>
        <w:rPr>
          <w:b/>
          <w:sz w:val="24"/>
          <w:szCs w:val="24"/>
        </w:rPr>
      </w:pPr>
      <w:r w:rsidRPr="00393420">
        <w:rPr>
          <w:rFonts w:ascii="Arial" w:eastAsia="Calibri" w:hAnsi="Arial" w:cs="Arial"/>
          <w:sz w:val="24"/>
          <w:szCs w:val="24"/>
        </w:rPr>
        <w:t>*</w:t>
      </w:r>
      <w:r w:rsidRPr="00BE7BA2">
        <w:rPr>
          <w:rFonts w:ascii="Arial" w:eastAsia="Calibri" w:hAnsi="Arial" w:cs="Arial"/>
          <w:sz w:val="20"/>
          <w:szCs w:val="20"/>
        </w:rPr>
        <w:t>Applications submitted in response to the later deadline, usually for newly admitted students, are subject to availability</w:t>
      </w:r>
      <w:r w:rsidR="00EF2032">
        <w:rPr>
          <w:rFonts w:ascii="Arial" w:eastAsia="Calibri" w:hAnsi="Arial" w:cs="Arial"/>
          <w:sz w:val="20"/>
          <w:szCs w:val="20"/>
        </w:rPr>
        <w:t xml:space="preserve"> of funds that have not already been awarded during the regular submission periods. </w:t>
      </w:r>
    </w:p>
    <w:p w:rsidR="00956D02" w:rsidRPr="00393420" w:rsidRDefault="00956D02" w:rsidP="002C1023">
      <w:pPr>
        <w:spacing w:line="240" w:lineRule="auto"/>
        <w:ind w:left="14"/>
        <w:contextualSpacing/>
        <w:rPr>
          <w:b/>
          <w:sz w:val="24"/>
          <w:szCs w:val="24"/>
        </w:rPr>
      </w:pPr>
      <w:r w:rsidRPr="00393420">
        <w:rPr>
          <w:b/>
          <w:sz w:val="24"/>
          <w:szCs w:val="24"/>
        </w:rPr>
        <w:t xml:space="preserve">What’s next after </w:t>
      </w:r>
      <w:r w:rsidR="00EF2032">
        <w:rPr>
          <w:b/>
          <w:sz w:val="24"/>
          <w:szCs w:val="24"/>
        </w:rPr>
        <w:t xml:space="preserve">the </w:t>
      </w:r>
      <w:r w:rsidR="00BE7BA2">
        <w:rPr>
          <w:b/>
          <w:sz w:val="24"/>
          <w:szCs w:val="24"/>
        </w:rPr>
        <w:t xml:space="preserve">tuition award </w:t>
      </w:r>
      <w:r w:rsidRPr="00393420">
        <w:rPr>
          <w:b/>
          <w:sz w:val="24"/>
          <w:szCs w:val="24"/>
        </w:rPr>
        <w:t>announcement?</w:t>
      </w:r>
    </w:p>
    <w:p w:rsidR="00956D02" w:rsidRPr="00393420" w:rsidRDefault="003D33A3" w:rsidP="002C1023">
      <w:pPr>
        <w:spacing w:line="240" w:lineRule="auto"/>
        <w:ind w:left="14"/>
        <w:contextualSpacing/>
        <w:rPr>
          <w:sz w:val="24"/>
          <w:szCs w:val="24"/>
        </w:rPr>
      </w:pPr>
      <w:r w:rsidRPr="00393420">
        <w:rPr>
          <w:sz w:val="24"/>
          <w:szCs w:val="24"/>
        </w:rPr>
        <w:t xml:space="preserve">The </w:t>
      </w:r>
      <w:r w:rsidR="00EF2032">
        <w:rPr>
          <w:sz w:val="24"/>
          <w:szCs w:val="24"/>
        </w:rPr>
        <w:t xml:space="preserve">PI’s </w:t>
      </w:r>
      <w:r w:rsidRPr="00393420">
        <w:rPr>
          <w:sz w:val="24"/>
          <w:szCs w:val="24"/>
        </w:rPr>
        <w:t>d</w:t>
      </w:r>
      <w:r w:rsidR="00956D02" w:rsidRPr="00393420">
        <w:rPr>
          <w:sz w:val="24"/>
          <w:szCs w:val="24"/>
        </w:rPr>
        <w:t>epartment prepares</w:t>
      </w:r>
      <w:r w:rsidR="00BE7BA2">
        <w:rPr>
          <w:sz w:val="24"/>
          <w:szCs w:val="24"/>
        </w:rPr>
        <w:t xml:space="preserve"> a</w:t>
      </w:r>
      <w:r w:rsidR="00956D02" w:rsidRPr="00393420">
        <w:rPr>
          <w:sz w:val="24"/>
          <w:szCs w:val="24"/>
        </w:rPr>
        <w:t xml:space="preserve"> letter of offer and </w:t>
      </w:r>
      <w:r w:rsidR="00EF2032">
        <w:rPr>
          <w:sz w:val="24"/>
          <w:szCs w:val="24"/>
        </w:rPr>
        <w:t xml:space="preserve">the </w:t>
      </w:r>
      <w:r w:rsidR="00956D02" w:rsidRPr="00393420">
        <w:rPr>
          <w:sz w:val="24"/>
          <w:szCs w:val="24"/>
        </w:rPr>
        <w:t xml:space="preserve">GA agreement. After all required signatures </w:t>
      </w:r>
      <w:r w:rsidR="00EF2032">
        <w:rPr>
          <w:sz w:val="24"/>
          <w:szCs w:val="24"/>
        </w:rPr>
        <w:t xml:space="preserve">are </w:t>
      </w:r>
      <w:r w:rsidR="00956D02" w:rsidRPr="00393420">
        <w:rPr>
          <w:sz w:val="24"/>
          <w:szCs w:val="24"/>
        </w:rPr>
        <w:t xml:space="preserve">obtained, </w:t>
      </w:r>
      <w:r w:rsidR="001B0151">
        <w:rPr>
          <w:sz w:val="24"/>
          <w:szCs w:val="24"/>
        </w:rPr>
        <w:t xml:space="preserve">the PI should </w:t>
      </w:r>
      <w:r w:rsidR="00956D02" w:rsidRPr="00393420">
        <w:rPr>
          <w:sz w:val="24"/>
          <w:szCs w:val="24"/>
        </w:rPr>
        <w:t xml:space="preserve">forward them to </w:t>
      </w:r>
      <w:r w:rsidR="00DD747D">
        <w:rPr>
          <w:sz w:val="24"/>
          <w:szCs w:val="24"/>
        </w:rPr>
        <w:t>ORA</w:t>
      </w:r>
      <w:r w:rsidR="00956D02" w:rsidRPr="00393420">
        <w:rPr>
          <w:sz w:val="24"/>
          <w:szCs w:val="24"/>
        </w:rPr>
        <w:t xml:space="preserve">. </w:t>
      </w:r>
    </w:p>
    <w:p w:rsidR="00956D02" w:rsidRPr="00393420" w:rsidRDefault="00956D02" w:rsidP="002C1023">
      <w:pPr>
        <w:spacing w:line="240" w:lineRule="auto"/>
        <w:ind w:left="14"/>
        <w:contextualSpacing/>
        <w:rPr>
          <w:sz w:val="24"/>
          <w:szCs w:val="24"/>
        </w:rPr>
      </w:pPr>
    </w:p>
    <w:p w:rsidR="00537A3D" w:rsidRPr="00393420" w:rsidRDefault="00956D02" w:rsidP="00C642A1">
      <w:pPr>
        <w:spacing w:line="240" w:lineRule="auto"/>
        <w:contextualSpacing/>
        <w:rPr>
          <w:b/>
          <w:sz w:val="24"/>
          <w:szCs w:val="24"/>
        </w:rPr>
      </w:pPr>
      <w:r w:rsidRPr="00393420">
        <w:rPr>
          <w:b/>
          <w:sz w:val="24"/>
          <w:szCs w:val="24"/>
        </w:rPr>
        <w:t>How</w:t>
      </w:r>
      <w:r w:rsidR="00BE7BA2">
        <w:rPr>
          <w:b/>
          <w:sz w:val="24"/>
          <w:szCs w:val="24"/>
        </w:rPr>
        <w:t xml:space="preserve"> will</w:t>
      </w:r>
      <w:r w:rsidRPr="00393420">
        <w:rPr>
          <w:b/>
          <w:sz w:val="24"/>
          <w:szCs w:val="24"/>
        </w:rPr>
        <w:t xml:space="preserve"> the tuition payment </w:t>
      </w:r>
      <w:r w:rsidR="00BE7BA2">
        <w:rPr>
          <w:b/>
          <w:sz w:val="24"/>
          <w:szCs w:val="24"/>
        </w:rPr>
        <w:t>be</w:t>
      </w:r>
      <w:r w:rsidRPr="00393420">
        <w:rPr>
          <w:b/>
          <w:sz w:val="24"/>
          <w:szCs w:val="24"/>
        </w:rPr>
        <w:t xml:space="preserve"> </w:t>
      </w:r>
      <w:r w:rsidR="00C642A1" w:rsidRPr="00393420">
        <w:rPr>
          <w:b/>
          <w:sz w:val="24"/>
          <w:szCs w:val="24"/>
        </w:rPr>
        <w:t xml:space="preserve">handled? </w:t>
      </w:r>
    </w:p>
    <w:p w:rsidR="00C642A1" w:rsidRPr="00393420" w:rsidRDefault="00C642A1" w:rsidP="00C642A1">
      <w:pPr>
        <w:spacing w:line="240" w:lineRule="auto"/>
        <w:contextualSpacing/>
        <w:rPr>
          <w:sz w:val="24"/>
          <w:szCs w:val="24"/>
        </w:rPr>
      </w:pPr>
      <w:r w:rsidRPr="00393420">
        <w:rPr>
          <w:sz w:val="24"/>
          <w:szCs w:val="24"/>
        </w:rPr>
        <w:t xml:space="preserve">After </w:t>
      </w:r>
      <w:r w:rsidR="00DD747D">
        <w:rPr>
          <w:sz w:val="24"/>
          <w:szCs w:val="24"/>
        </w:rPr>
        <w:t>ORA</w:t>
      </w:r>
      <w:r w:rsidRPr="00393420">
        <w:rPr>
          <w:sz w:val="24"/>
          <w:szCs w:val="24"/>
        </w:rPr>
        <w:t xml:space="preserve"> receive</w:t>
      </w:r>
      <w:r w:rsidR="00EF2032">
        <w:rPr>
          <w:sz w:val="24"/>
          <w:szCs w:val="24"/>
        </w:rPr>
        <w:t>s</w:t>
      </w:r>
      <w:r w:rsidRPr="00393420">
        <w:rPr>
          <w:sz w:val="24"/>
          <w:szCs w:val="24"/>
        </w:rPr>
        <w:t xml:space="preserve"> and approve</w:t>
      </w:r>
      <w:r w:rsidR="00EF2032">
        <w:rPr>
          <w:sz w:val="24"/>
          <w:szCs w:val="24"/>
        </w:rPr>
        <w:t xml:space="preserve">s the </w:t>
      </w:r>
      <w:r w:rsidRPr="00393420">
        <w:rPr>
          <w:sz w:val="24"/>
          <w:szCs w:val="24"/>
        </w:rPr>
        <w:t xml:space="preserve">letter of offer and GA agreement, they </w:t>
      </w:r>
      <w:r w:rsidR="003D33A3" w:rsidRPr="00393420">
        <w:rPr>
          <w:sz w:val="24"/>
          <w:szCs w:val="24"/>
        </w:rPr>
        <w:t>will be</w:t>
      </w:r>
      <w:r w:rsidRPr="00393420">
        <w:rPr>
          <w:sz w:val="24"/>
          <w:szCs w:val="24"/>
        </w:rPr>
        <w:t xml:space="preserve"> forwarded to the office of Graduate Study to process the tuition payment. </w:t>
      </w:r>
    </w:p>
    <w:p w:rsidR="002C1023" w:rsidRPr="00393420" w:rsidRDefault="00090BED" w:rsidP="002C1023">
      <w:pPr>
        <w:spacing w:line="240" w:lineRule="auto"/>
        <w:ind w:left="14"/>
        <w:contextualSpacing/>
        <w:rPr>
          <w:sz w:val="24"/>
          <w:szCs w:val="24"/>
        </w:rPr>
      </w:pPr>
      <w:r w:rsidRPr="00393420">
        <w:rPr>
          <w:sz w:val="24"/>
          <w:szCs w:val="24"/>
        </w:rPr>
        <w:t xml:space="preserve"> </w:t>
      </w:r>
    </w:p>
    <w:p w:rsidR="007574D8" w:rsidRPr="00393420" w:rsidRDefault="006451AD" w:rsidP="002C1023">
      <w:pPr>
        <w:spacing w:line="240" w:lineRule="auto"/>
        <w:ind w:left="14"/>
        <w:contextualSpacing/>
        <w:rPr>
          <w:sz w:val="24"/>
          <w:szCs w:val="24"/>
        </w:rPr>
      </w:pPr>
      <w:r w:rsidRPr="00393420">
        <w:rPr>
          <w:b/>
          <w:sz w:val="24"/>
          <w:szCs w:val="24"/>
        </w:rPr>
        <w:t xml:space="preserve">Does </w:t>
      </w:r>
      <w:proofErr w:type="spellStart"/>
      <w:r w:rsidRPr="00393420">
        <w:rPr>
          <w:b/>
          <w:sz w:val="24"/>
          <w:szCs w:val="24"/>
        </w:rPr>
        <w:t>GReAT</w:t>
      </w:r>
      <w:proofErr w:type="spellEnd"/>
      <w:r w:rsidRPr="00393420">
        <w:rPr>
          <w:b/>
          <w:sz w:val="24"/>
          <w:szCs w:val="24"/>
        </w:rPr>
        <w:t xml:space="preserve"> support </w:t>
      </w:r>
      <w:r w:rsidR="00BE7BA2">
        <w:rPr>
          <w:b/>
          <w:sz w:val="24"/>
          <w:szCs w:val="24"/>
        </w:rPr>
        <w:t xml:space="preserve">the </w:t>
      </w:r>
      <w:r w:rsidRPr="00393420">
        <w:rPr>
          <w:b/>
          <w:sz w:val="24"/>
          <w:szCs w:val="24"/>
        </w:rPr>
        <w:t>summer term?</w:t>
      </w:r>
      <w:r w:rsidRPr="00393420">
        <w:rPr>
          <w:sz w:val="24"/>
          <w:szCs w:val="24"/>
        </w:rPr>
        <w:t xml:space="preserve"> </w:t>
      </w:r>
    </w:p>
    <w:p w:rsidR="006451AD" w:rsidRPr="00393420" w:rsidRDefault="00BE7BA2" w:rsidP="002C1023">
      <w:pPr>
        <w:spacing w:line="240" w:lineRule="auto"/>
        <w:ind w:left="14"/>
        <w:contextualSpacing/>
        <w:rPr>
          <w:sz w:val="24"/>
          <w:szCs w:val="24"/>
        </w:rPr>
      </w:pPr>
      <w:r>
        <w:rPr>
          <w:sz w:val="24"/>
          <w:szCs w:val="24"/>
        </w:rPr>
        <w:t>Consist</w:t>
      </w:r>
      <w:r w:rsidR="00EF2032">
        <w:rPr>
          <w:sz w:val="24"/>
          <w:szCs w:val="24"/>
        </w:rPr>
        <w:t>e</w:t>
      </w:r>
      <w:r>
        <w:rPr>
          <w:sz w:val="24"/>
          <w:szCs w:val="24"/>
        </w:rPr>
        <w:t xml:space="preserve">nt with GA Policy Guidelines, </w:t>
      </w:r>
      <w:proofErr w:type="spellStart"/>
      <w:r>
        <w:rPr>
          <w:sz w:val="24"/>
          <w:szCs w:val="24"/>
        </w:rPr>
        <w:t>GReAT</w:t>
      </w:r>
      <w:proofErr w:type="spellEnd"/>
      <w:r>
        <w:rPr>
          <w:sz w:val="24"/>
          <w:szCs w:val="24"/>
        </w:rPr>
        <w:t xml:space="preserve"> does not </w:t>
      </w:r>
      <w:r w:rsidR="003A0386" w:rsidRPr="00393420">
        <w:rPr>
          <w:sz w:val="24"/>
          <w:szCs w:val="24"/>
        </w:rPr>
        <w:t xml:space="preserve">support </w:t>
      </w:r>
      <w:r>
        <w:rPr>
          <w:sz w:val="24"/>
          <w:szCs w:val="24"/>
        </w:rPr>
        <w:t xml:space="preserve">the </w:t>
      </w:r>
      <w:r w:rsidR="003A0386" w:rsidRPr="00393420">
        <w:rPr>
          <w:sz w:val="24"/>
          <w:szCs w:val="24"/>
        </w:rPr>
        <w:t>summer term</w:t>
      </w:r>
      <w:r w:rsidR="00FC7C9D" w:rsidRPr="00393420">
        <w:rPr>
          <w:sz w:val="24"/>
          <w:szCs w:val="24"/>
        </w:rPr>
        <w:t xml:space="preserve">. </w:t>
      </w:r>
      <w:r w:rsidR="003A0386" w:rsidRPr="00393420">
        <w:rPr>
          <w:sz w:val="24"/>
          <w:szCs w:val="24"/>
        </w:rPr>
        <w:t xml:space="preserve"> </w:t>
      </w:r>
    </w:p>
    <w:p w:rsidR="002C1023" w:rsidRPr="00393420" w:rsidRDefault="002C1023" w:rsidP="002C1023">
      <w:pPr>
        <w:spacing w:line="240" w:lineRule="auto"/>
        <w:ind w:left="14"/>
        <w:contextualSpacing/>
        <w:rPr>
          <w:sz w:val="24"/>
          <w:szCs w:val="24"/>
        </w:rPr>
      </w:pPr>
    </w:p>
    <w:p w:rsidR="007574D8" w:rsidRPr="00393420" w:rsidRDefault="003A0386" w:rsidP="002C1023">
      <w:pPr>
        <w:spacing w:line="240" w:lineRule="auto"/>
        <w:ind w:left="14"/>
        <w:contextualSpacing/>
        <w:rPr>
          <w:sz w:val="24"/>
          <w:szCs w:val="24"/>
        </w:rPr>
      </w:pPr>
      <w:r w:rsidRPr="00393420">
        <w:rPr>
          <w:b/>
          <w:sz w:val="24"/>
          <w:szCs w:val="24"/>
        </w:rPr>
        <w:t xml:space="preserve">Can </w:t>
      </w:r>
      <w:r w:rsidR="00EF2032">
        <w:rPr>
          <w:b/>
          <w:sz w:val="24"/>
          <w:szCs w:val="24"/>
        </w:rPr>
        <w:t xml:space="preserve">an </w:t>
      </w:r>
      <w:r w:rsidRPr="00393420">
        <w:rPr>
          <w:b/>
          <w:sz w:val="24"/>
          <w:szCs w:val="24"/>
        </w:rPr>
        <w:t xml:space="preserve">unused </w:t>
      </w:r>
      <w:proofErr w:type="spellStart"/>
      <w:r w:rsidRPr="00393420">
        <w:rPr>
          <w:b/>
          <w:sz w:val="24"/>
          <w:szCs w:val="24"/>
        </w:rPr>
        <w:t>GReAT</w:t>
      </w:r>
      <w:proofErr w:type="spellEnd"/>
      <w:r w:rsidRPr="00393420">
        <w:rPr>
          <w:b/>
          <w:sz w:val="24"/>
          <w:szCs w:val="24"/>
        </w:rPr>
        <w:t xml:space="preserve"> </w:t>
      </w:r>
      <w:r w:rsidR="00BE7BA2">
        <w:rPr>
          <w:b/>
          <w:sz w:val="24"/>
          <w:szCs w:val="24"/>
        </w:rPr>
        <w:t>award</w:t>
      </w:r>
      <w:r w:rsidRPr="00393420">
        <w:rPr>
          <w:b/>
          <w:sz w:val="24"/>
          <w:szCs w:val="24"/>
        </w:rPr>
        <w:t xml:space="preserve"> </w:t>
      </w:r>
      <w:r w:rsidR="00BE7BA2">
        <w:rPr>
          <w:b/>
          <w:sz w:val="24"/>
          <w:szCs w:val="24"/>
        </w:rPr>
        <w:t xml:space="preserve">be </w:t>
      </w:r>
      <w:r w:rsidRPr="00393420">
        <w:rPr>
          <w:b/>
          <w:sz w:val="24"/>
          <w:szCs w:val="24"/>
        </w:rPr>
        <w:t>carried over to the next year?</w:t>
      </w:r>
      <w:r w:rsidRPr="00393420">
        <w:rPr>
          <w:sz w:val="24"/>
          <w:szCs w:val="24"/>
        </w:rPr>
        <w:t xml:space="preserve"> </w:t>
      </w:r>
    </w:p>
    <w:p w:rsidR="003A0386" w:rsidRPr="00393420" w:rsidRDefault="00EF2032" w:rsidP="002C1023">
      <w:pPr>
        <w:spacing w:line="240" w:lineRule="auto"/>
        <w:ind w:left="1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No, an award cannot be carried </w:t>
      </w:r>
      <w:r w:rsidR="003A0386" w:rsidRPr="00393420">
        <w:rPr>
          <w:sz w:val="24"/>
          <w:szCs w:val="24"/>
        </w:rPr>
        <w:t xml:space="preserve">over to </w:t>
      </w:r>
      <w:r w:rsidR="00BE7BA2">
        <w:rPr>
          <w:sz w:val="24"/>
          <w:szCs w:val="24"/>
        </w:rPr>
        <w:t xml:space="preserve">the </w:t>
      </w:r>
      <w:r w:rsidR="009E33BB" w:rsidRPr="00393420">
        <w:rPr>
          <w:sz w:val="24"/>
          <w:szCs w:val="24"/>
        </w:rPr>
        <w:t>next budget</w:t>
      </w:r>
      <w:r w:rsidR="003A0386" w:rsidRPr="00393420">
        <w:rPr>
          <w:sz w:val="24"/>
          <w:szCs w:val="24"/>
        </w:rPr>
        <w:t xml:space="preserve"> year</w:t>
      </w:r>
      <w:r w:rsidR="003D33A3" w:rsidRPr="00393420">
        <w:rPr>
          <w:sz w:val="24"/>
          <w:szCs w:val="24"/>
        </w:rPr>
        <w:t xml:space="preserve"> per university</w:t>
      </w:r>
      <w:r w:rsidR="00BE7BA2">
        <w:rPr>
          <w:sz w:val="24"/>
          <w:szCs w:val="24"/>
        </w:rPr>
        <w:t xml:space="preserve"> policy</w:t>
      </w:r>
      <w:r>
        <w:rPr>
          <w:sz w:val="24"/>
          <w:szCs w:val="24"/>
        </w:rPr>
        <w:t xml:space="preserve"> (concerning general fund expenditures)</w:t>
      </w:r>
      <w:r w:rsidR="00CF0BF2" w:rsidRPr="00393420">
        <w:rPr>
          <w:sz w:val="24"/>
          <w:szCs w:val="24"/>
        </w:rPr>
        <w:t>;</w:t>
      </w:r>
      <w:r w:rsidR="003A0386" w:rsidRPr="003934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therefore, the </w:t>
      </w:r>
      <w:proofErr w:type="spellStart"/>
      <w:r w:rsidR="003A0386" w:rsidRPr="00393420">
        <w:rPr>
          <w:sz w:val="24"/>
          <w:szCs w:val="24"/>
        </w:rPr>
        <w:t>GReAT</w:t>
      </w:r>
      <w:proofErr w:type="spellEnd"/>
      <w:r w:rsidR="003A0386" w:rsidRPr="00393420">
        <w:rPr>
          <w:sz w:val="24"/>
          <w:szCs w:val="24"/>
        </w:rPr>
        <w:t xml:space="preserve"> </w:t>
      </w:r>
      <w:r w:rsidR="00CF0BF2">
        <w:rPr>
          <w:sz w:val="24"/>
          <w:szCs w:val="24"/>
        </w:rPr>
        <w:t>application must be resubmitted (criterion #8 above).</w:t>
      </w:r>
      <w:r w:rsidR="00952D80">
        <w:rPr>
          <w:sz w:val="24"/>
          <w:szCs w:val="24"/>
        </w:rPr>
        <w:t xml:space="preserve"> </w:t>
      </w:r>
    </w:p>
    <w:p w:rsidR="002C1023" w:rsidRPr="00393420" w:rsidRDefault="002C1023" w:rsidP="002C1023">
      <w:pPr>
        <w:spacing w:line="240" w:lineRule="auto"/>
        <w:ind w:left="14"/>
        <w:contextualSpacing/>
        <w:rPr>
          <w:sz w:val="24"/>
          <w:szCs w:val="24"/>
        </w:rPr>
      </w:pPr>
    </w:p>
    <w:p w:rsidR="007574D8" w:rsidRPr="00393420" w:rsidRDefault="00B63681" w:rsidP="002C1023">
      <w:pPr>
        <w:spacing w:line="240" w:lineRule="auto"/>
        <w:contextualSpacing/>
        <w:rPr>
          <w:b/>
          <w:sz w:val="24"/>
          <w:szCs w:val="24"/>
        </w:rPr>
      </w:pPr>
      <w:r w:rsidRPr="00393420">
        <w:rPr>
          <w:b/>
          <w:sz w:val="24"/>
          <w:szCs w:val="24"/>
        </w:rPr>
        <w:t xml:space="preserve">What if </w:t>
      </w:r>
      <w:r w:rsidR="00CF0BF2">
        <w:rPr>
          <w:b/>
          <w:sz w:val="24"/>
          <w:szCs w:val="24"/>
        </w:rPr>
        <w:t>the PI</w:t>
      </w:r>
      <w:r w:rsidR="006451AD" w:rsidRPr="00393420">
        <w:rPr>
          <w:b/>
          <w:sz w:val="24"/>
          <w:szCs w:val="24"/>
        </w:rPr>
        <w:t xml:space="preserve"> has to </w:t>
      </w:r>
      <w:r w:rsidRPr="00393420">
        <w:rPr>
          <w:b/>
          <w:sz w:val="24"/>
          <w:szCs w:val="24"/>
        </w:rPr>
        <w:t xml:space="preserve">change student after receiving </w:t>
      </w:r>
      <w:r w:rsidR="00BE7BA2">
        <w:rPr>
          <w:b/>
          <w:sz w:val="24"/>
          <w:szCs w:val="24"/>
        </w:rPr>
        <w:t xml:space="preserve">the </w:t>
      </w:r>
      <w:r w:rsidRPr="00393420">
        <w:rPr>
          <w:b/>
          <w:sz w:val="24"/>
          <w:szCs w:val="24"/>
        </w:rPr>
        <w:t xml:space="preserve">award announcement? </w:t>
      </w:r>
    </w:p>
    <w:p w:rsidR="009E33BB" w:rsidRPr="00393420" w:rsidRDefault="00CF0BF2" w:rsidP="002C102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The PI has to s</w:t>
      </w:r>
      <w:r w:rsidR="00FC7C9D" w:rsidRPr="00393420">
        <w:rPr>
          <w:sz w:val="24"/>
          <w:szCs w:val="24"/>
        </w:rPr>
        <w:t xml:space="preserve">ubmit </w:t>
      </w:r>
      <w:r w:rsidR="00BE7BA2">
        <w:rPr>
          <w:sz w:val="24"/>
          <w:szCs w:val="24"/>
        </w:rPr>
        <w:t xml:space="preserve">the </w:t>
      </w:r>
      <w:proofErr w:type="spellStart"/>
      <w:r w:rsidR="00FC7C9D" w:rsidRPr="00393420">
        <w:rPr>
          <w:sz w:val="24"/>
          <w:szCs w:val="24"/>
        </w:rPr>
        <w:t>GReAT</w:t>
      </w:r>
      <w:proofErr w:type="spellEnd"/>
      <w:r w:rsidR="00FC7C9D" w:rsidRPr="00393420">
        <w:rPr>
          <w:sz w:val="24"/>
          <w:szCs w:val="24"/>
        </w:rPr>
        <w:t xml:space="preserve"> application form </w:t>
      </w:r>
      <w:r>
        <w:rPr>
          <w:sz w:val="24"/>
          <w:szCs w:val="24"/>
        </w:rPr>
        <w:t xml:space="preserve">for the </w:t>
      </w:r>
      <w:r w:rsidR="00AE44A2">
        <w:rPr>
          <w:sz w:val="24"/>
          <w:szCs w:val="24"/>
        </w:rPr>
        <w:t xml:space="preserve">new </w:t>
      </w:r>
      <w:r>
        <w:rPr>
          <w:sz w:val="24"/>
          <w:szCs w:val="24"/>
        </w:rPr>
        <w:t xml:space="preserve">student </w:t>
      </w:r>
      <w:r w:rsidR="00FC7C9D" w:rsidRPr="00393420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notify </w:t>
      </w:r>
      <w:r w:rsidR="00DD747D">
        <w:rPr>
          <w:sz w:val="24"/>
          <w:szCs w:val="24"/>
        </w:rPr>
        <w:t>ORA</w:t>
      </w:r>
      <w:r>
        <w:rPr>
          <w:sz w:val="24"/>
          <w:szCs w:val="24"/>
        </w:rPr>
        <w:t xml:space="preserve"> this is replacing awarded student</w:t>
      </w:r>
      <w:r w:rsidR="0012211F">
        <w:rPr>
          <w:sz w:val="24"/>
          <w:szCs w:val="24"/>
        </w:rPr>
        <w:t>.  A</w:t>
      </w:r>
      <w:r w:rsidR="00AE44A2">
        <w:rPr>
          <w:sz w:val="24"/>
          <w:szCs w:val="24"/>
        </w:rPr>
        <w:t xml:space="preserve"> justification is required. </w:t>
      </w:r>
    </w:p>
    <w:p w:rsidR="00FC7C9D" w:rsidRPr="00393420" w:rsidRDefault="00FC7C9D" w:rsidP="002C1023">
      <w:pPr>
        <w:spacing w:line="240" w:lineRule="auto"/>
        <w:contextualSpacing/>
        <w:rPr>
          <w:sz w:val="24"/>
          <w:szCs w:val="24"/>
        </w:rPr>
      </w:pPr>
    </w:p>
    <w:p w:rsidR="007574D8" w:rsidRPr="00393420" w:rsidRDefault="00FC7C9D" w:rsidP="002C1023">
      <w:pPr>
        <w:spacing w:line="240" w:lineRule="auto"/>
        <w:contextualSpacing/>
        <w:rPr>
          <w:b/>
          <w:sz w:val="24"/>
          <w:szCs w:val="24"/>
        </w:rPr>
      </w:pPr>
      <w:r w:rsidRPr="00393420">
        <w:rPr>
          <w:b/>
          <w:sz w:val="24"/>
          <w:szCs w:val="24"/>
        </w:rPr>
        <w:t xml:space="preserve">Does </w:t>
      </w:r>
      <w:proofErr w:type="spellStart"/>
      <w:r w:rsidR="003A0386" w:rsidRPr="00393420">
        <w:rPr>
          <w:b/>
          <w:sz w:val="24"/>
          <w:szCs w:val="24"/>
        </w:rPr>
        <w:t>GReAT</w:t>
      </w:r>
      <w:proofErr w:type="spellEnd"/>
      <w:r w:rsidR="003A0386" w:rsidRPr="00393420">
        <w:rPr>
          <w:b/>
          <w:sz w:val="24"/>
          <w:szCs w:val="24"/>
        </w:rPr>
        <w:t xml:space="preserve"> support no-cost extension grant</w:t>
      </w:r>
      <w:r w:rsidR="00250029">
        <w:rPr>
          <w:b/>
          <w:sz w:val="24"/>
          <w:szCs w:val="24"/>
        </w:rPr>
        <w:t>s</w:t>
      </w:r>
      <w:r w:rsidR="003A0386" w:rsidRPr="00393420">
        <w:rPr>
          <w:b/>
          <w:sz w:val="24"/>
          <w:szCs w:val="24"/>
        </w:rPr>
        <w:t xml:space="preserve">? </w:t>
      </w:r>
    </w:p>
    <w:p w:rsidR="00B63681" w:rsidRPr="00393420" w:rsidRDefault="00C452C4" w:rsidP="002C102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 w:rsidR="00D93F7E" w:rsidRPr="00393420">
        <w:rPr>
          <w:sz w:val="24"/>
          <w:szCs w:val="24"/>
        </w:rPr>
        <w:t>GReAT</w:t>
      </w:r>
      <w:proofErr w:type="spellEnd"/>
      <w:r w:rsidR="00D93F7E" w:rsidRPr="00393420">
        <w:rPr>
          <w:sz w:val="24"/>
          <w:szCs w:val="24"/>
        </w:rPr>
        <w:t xml:space="preserve"> does not </w:t>
      </w:r>
      <w:r w:rsidR="0004378C">
        <w:rPr>
          <w:sz w:val="24"/>
          <w:szCs w:val="24"/>
        </w:rPr>
        <w:t xml:space="preserve">automatically </w:t>
      </w:r>
      <w:r w:rsidR="00D93F7E" w:rsidRPr="00393420">
        <w:rPr>
          <w:sz w:val="24"/>
          <w:szCs w:val="24"/>
        </w:rPr>
        <w:t>support</w:t>
      </w:r>
      <w:r w:rsidR="00D93F7E" w:rsidRPr="00393420">
        <w:rPr>
          <w:b/>
          <w:sz w:val="24"/>
          <w:szCs w:val="24"/>
        </w:rPr>
        <w:t xml:space="preserve"> n</w:t>
      </w:r>
      <w:r w:rsidR="003A0386" w:rsidRPr="00393420">
        <w:rPr>
          <w:sz w:val="24"/>
          <w:szCs w:val="24"/>
        </w:rPr>
        <w:t>o-cost extension</w:t>
      </w:r>
      <w:r w:rsidR="00CF0BF2">
        <w:rPr>
          <w:sz w:val="24"/>
          <w:szCs w:val="24"/>
        </w:rPr>
        <w:t xml:space="preserve">s on </w:t>
      </w:r>
      <w:r w:rsidR="003A0386" w:rsidRPr="00393420">
        <w:rPr>
          <w:sz w:val="24"/>
          <w:szCs w:val="24"/>
        </w:rPr>
        <w:t>grant</w:t>
      </w:r>
      <w:r w:rsidR="00CF0BF2">
        <w:rPr>
          <w:sz w:val="24"/>
          <w:szCs w:val="24"/>
        </w:rPr>
        <w:t>s</w:t>
      </w:r>
      <w:r w:rsidR="007574D8" w:rsidRPr="00393420">
        <w:rPr>
          <w:sz w:val="24"/>
          <w:szCs w:val="24"/>
        </w:rPr>
        <w:t xml:space="preserve">, </w:t>
      </w:r>
      <w:r w:rsidR="002B1B1A">
        <w:rPr>
          <w:sz w:val="24"/>
          <w:szCs w:val="24"/>
        </w:rPr>
        <w:t>so</w:t>
      </w:r>
      <w:r w:rsidR="003A0386" w:rsidRPr="00393420">
        <w:rPr>
          <w:sz w:val="24"/>
          <w:szCs w:val="24"/>
        </w:rPr>
        <w:t xml:space="preserve"> it is </w:t>
      </w:r>
      <w:r w:rsidR="00250029">
        <w:rPr>
          <w:sz w:val="24"/>
          <w:szCs w:val="24"/>
        </w:rPr>
        <w:t>re</w:t>
      </w:r>
      <w:r w:rsidR="002B1B1A">
        <w:rPr>
          <w:sz w:val="24"/>
          <w:szCs w:val="24"/>
        </w:rPr>
        <w:t>quired</w:t>
      </w:r>
      <w:r w:rsidR="003A0386" w:rsidRPr="00393420">
        <w:rPr>
          <w:sz w:val="24"/>
          <w:szCs w:val="24"/>
        </w:rPr>
        <w:t xml:space="preserve"> to submit </w:t>
      </w:r>
      <w:r w:rsidR="002B1B1A">
        <w:rPr>
          <w:sz w:val="24"/>
          <w:szCs w:val="24"/>
        </w:rPr>
        <w:t xml:space="preserve">a new </w:t>
      </w:r>
      <w:proofErr w:type="spellStart"/>
      <w:r w:rsidR="003A0386" w:rsidRPr="00393420">
        <w:rPr>
          <w:sz w:val="24"/>
          <w:szCs w:val="24"/>
        </w:rPr>
        <w:t>GReAT</w:t>
      </w:r>
      <w:proofErr w:type="spellEnd"/>
      <w:r w:rsidR="00250029">
        <w:rPr>
          <w:sz w:val="24"/>
          <w:szCs w:val="24"/>
        </w:rPr>
        <w:t xml:space="preserve"> </w:t>
      </w:r>
      <w:r w:rsidR="0004378C">
        <w:rPr>
          <w:sz w:val="24"/>
          <w:szCs w:val="24"/>
        </w:rPr>
        <w:t>application</w:t>
      </w:r>
      <w:r w:rsidR="002B1B1A">
        <w:rPr>
          <w:sz w:val="24"/>
          <w:szCs w:val="24"/>
        </w:rPr>
        <w:t>.</w:t>
      </w:r>
    </w:p>
    <w:p w:rsidR="002C1023" w:rsidRPr="00393420" w:rsidRDefault="002C1023" w:rsidP="002C1023">
      <w:pPr>
        <w:spacing w:line="240" w:lineRule="auto"/>
        <w:contextualSpacing/>
        <w:rPr>
          <w:sz w:val="24"/>
          <w:szCs w:val="24"/>
        </w:rPr>
      </w:pPr>
    </w:p>
    <w:p w:rsidR="009E33BB" w:rsidRPr="00393420" w:rsidRDefault="009E33BB" w:rsidP="002C1023">
      <w:pPr>
        <w:spacing w:line="240" w:lineRule="auto"/>
        <w:contextualSpacing/>
        <w:rPr>
          <w:b/>
          <w:sz w:val="24"/>
          <w:szCs w:val="24"/>
        </w:rPr>
      </w:pPr>
      <w:r w:rsidRPr="00393420">
        <w:rPr>
          <w:b/>
          <w:sz w:val="24"/>
          <w:szCs w:val="24"/>
        </w:rPr>
        <w:t xml:space="preserve">What </w:t>
      </w:r>
      <w:r w:rsidR="003A0386" w:rsidRPr="00393420">
        <w:rPr>
          <w:b/>
          <w:sz w:val="24"/>
          <w:szCs w:val="24"/>
        </w:rPr>
        <w:t xml:space="preserve">if </w:t>
      </w:r>
      <w:r w:rsidR="00250029">
        <w:rPr>
          <w:b/>
          <w:sz w:val="24"/>
          <w:szCs w:val="24"/>
        </w:rPr>
        <w:t xml:space="preserve">the </w:t>
      </w:r>
      <w:r w:rsidR="003A0386" w:rsidRPr="00393420">
        <w:rPr>
          <w:b/>
          <w:sz w:val="24"/>
          <w:szCs w:val="24"/>
        </w:rPr>
        <w:t>G</w:t>
      </w:r>
      <w:r w:rsidR="00CF0BF2">
        <w:rPr>
          <w:b/>
          <w:sz w:val="24"/>
          <w:szCs w:val="24"/>
        </w:rPr>
        <w:t>R</w:t>
      </w:r>
      <w:r w:rsidR="003A0386" w:rsidRPr="00393420">
        <w:rPr>
          <w:b/>
          <w:sz w:val="24"/>
          <w:szCs w:val="24"/>
        </w:rPr>
        <w:t xml:space="preserve">A </w:t>
      </w:r>
      <w:r w:rsidR="009751D3" w:rsidRPr="00393420">
        <w:rPr>
          <w:b/>
          <w:sz w:val="24"/>
          <w:szCs w:val="24"/>
        </w:rPr>
        <w:t xml:space="preserve">has not been </w:t>
      </w:r>
      <w:r w:rsidR="00CF0BF2">
        <w:rPr>
          <w:b/>
          <w:sz w:val="24"/>
          <w:szCs w:val="24"/>
        </w:rPr>
        <w:t>identified</w:t>
      </w:r>
      <w:r w:rsidR="009751D3" w:rsidRPr="00393420">
        <w:rPr>
          <w:b/>
          <w:sz w:val="24"/>
          <w:szCs w:val="24"/>
        </w:rPr>
        <w:t xml:space="preserve"> </w:t>
      </w:r>
      <w:r w:rsidR="003A0386" w:rsidRPr="00393420">
        <w:rPr>
          <w:b/>
          <w:sz w:val="24"/>
          <w:szCs w:val="24"/>
        </w:rPr>
        <w:t>and the application deadline</w:t>
      </w:r>
      <w:r w:rsidR="00250029">
        <w:rPr>
          <w:b/>
          <w:sz w:val="24"/>
          <w:szCs w:val="24"/>
        </w:rPr>
        <w:t xml:space="preserve"> passes</w:t>
      </w:r>
      <w:r w:rsidR="003A0386" w:rsidRPr="00393420">
        <w:rPr>
          <w:b/>
          <w:sz w:val="24"/>
          <w:szCs w:val="24"/>
        </w:rPr>
        <w:t>?</w:t>
      </w:r>
      <w:r w:rsidR="00F23FEF" w:rsidRPr="00393420">
        <w:rPr>
          <w:b/>
          <w:sz w:val="24"/>
          <w:szCs w:val="24"/>
        </w:rPr>
        <w:t xml:space="preserve"> </w:t>
      </w:r>
    </w:p>
    <w:p w:rsidR="003A0386" w:rsidRDefault="00CF0BF2" w:rsidP="002C102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</w:t>
      </w:r>
      <w:r w:rsidR="00F23FEF" w:rsidRPr="00393420">
        <w:rPr>
          <w:sz w:val="24"/>
          <w:szCs w:val="24"/>
        </w:rPr>
        <w:t xml:space="preserve">n the </w:t>
      </w:r>
      <w:proofErr w:type="spellStart"/>
      <w:r w:rsidR="00F23FEF" w:rsidRPr="00393420">
        <w:rPr>
          <w:sz w:val="24"/>
          <w:szCs w:val="24"/>
        </w:rPr>
        <w:t>GReAT</w:t>
      </w:r>
      <w:proofErr w:type="spellEnd"/>
      <w:r w:rsidR="00F23FEF" w:rsidRPr="00393420">
        <w:rPr>
          <w:sz w:val="24"/>
          <w:szCs w:val="24"/>
        </w:rPr>
        <w:t xml:space="preserve"> application form, specify “new student TBD” in </w:t>
      </w:r>
      <w:r>
        <w:rPr>
          <w:sz w:val="24"/>
          <w:szCs w:val="24"/>
        </w:rPr>
        <w:t>“</w:t>
      </w:r>
      <w:r w:rsidR="00F23FEF" w:rsidRPr="00393420">
        <w:rPr>
          <w:sz w:val="24"/>
          <w:szCs w:val="24"/>
        </w:rPr>
        <w:t>Student Name</w:t>
      </w:r>
      <w:r>
        <w:rPr>
          <w:sz w:val="24"/>
          <w:szCs w:val="24"/>
        </w:rPr>
        <w:t>”</w:t>
      </w:r>
      <w:r w:rsidR="00952D80">
        <w:rPr>
          <w:sz w:val="24"/>
          <w:szCs w:val="24"/>
        </w:rPr>
        <w:t xml:space="preserve"> field</w:t>
      </w:r>
      <w:r w:rsidR="002C1023" w:rsidRPr="00393420">
        <w:rPr>
          <w:sz w:val="24"/>
          <w:szCs w:val="24"/>
        </w:rPr>
        <w:t>.</w:t>
      </w:r>
      <w:r w:rsidR="009751D3" w:rsidRPr="00393420">
        <w:rPr>
          <w:sz w:val="24"/>
          <w:szCs w:val="24"/>
        </w:rPr>
        <w:t xml:space="preserve"> </w:t>
      </w:r>
    </w:p>
    <w:p w:rsidR="00AE44A2" w:rsidRDefault="00AE44A2" w:rsidP="002C1023">
      <w:pPr>
        <w:spacing w:line="240" w:lineRule="auto"/>
        <w:contextualSpacing/>
        <w:rPr>
          <w:sz w:val="24"/>
          <w:szCs w:val="24"/>
        </w:rPr>
      </w:pPr>
    </w:p>
    <w:p w:rsidR="00AE44A2" w:rsidRPr="00351CEF" w:rsidRDefault="00AE44A2" w:rsidP="002C1023">
      <w:pPr>
        <w:spacing w:line="240" w:lineRule="auto"/>
        <w:contextualSpacing/>
        <w:rPr>
          <w:b/>
          <w:sz w:val="24"/>
          <w:szCs w:val="24"/>
        </w:rPr>
      </w:pPr>
      <w:r w:rsidRPr="00351CEF">
        <w:rPr>
          <w:b/>
          <w:sz w:val="24"/>
          <w:szCs w:val="24"/>
        </w:rPr>
        <w:t xml:space="preserve">Can I use </w:t>
      </w:r>
      <w:proofErr w:type="spellStart"/>
      <w:r w:rsidRPr="00351CEF">
        <w:rPr>
          <w:b/>
          <w:sz w:val="24"/>
          <w:szCs w:val="24"/>
        </w:rPr>
        <w:t>GReAT</w:t>
      </w:r>
      <w:proofErr w:type="spellEnd"/>
      <w:r w:rsidRPr="00351CEF">
        <w:rPr>
          <w:b/>
          <w:sz w:val="24"/>
          <w:szCs w:val="24"/>
        </w:rPr>
        <w:t xml:space="preserve"> award to cover existing funded </w:t>
      </w:r>
      <w:r w:rsidR="00351CEF">
        <w:rPr>
          <w:b/>
          <w:sz w:val="24"/>
          <w:szCs w:val="24"/>
        </w:rPr>
        <w:t xml:space="preserve">external </w:t>
      </w:r>
      <w:r w:rsidRPr="00351CEF">
        <w:rPr>
          <w:b/>
          <w:sz w:val="24"/>
          <w:szCs w:val="24"/>
        </w:rPr>
        <w:t>grant</w:t>
      </w:r>
      <w:r w:rsidR="00351CEF">
        <w:rPr>
          <w:b/>
          <w:sz w:val="24"/>
          <w:szCs w:val="24"/>
        </w:rPr>
        <w:t>’</w:t>
      </w:r>
      <w:r w:rsidRPr="00351CEF">
        <w:rPr>
          <w:b/>
          <w:sz w:val="24"/>
          <w:szCs w:val="24"/>
        </w:rPr>
        <w:t>s and contract</w:t>
      </w:r>
      <w:r w:rsidR="00351CEF">
        <w:rPr>
          <w:b/>
          <w:sz w:val="24"/>
          <w:szCs w:val="24"/>
        </w:rPr>
        <w:t>’</w:t>
      </w:r>
      <w:r w:rsidRPr="00351CEF">
        <w:rPr>
          <w:b/>
          <w:sz w:val="24"/>
          <w:szCs w:val="24"/>
        </w:rPr>
        <w:t>s</w:t>
      </w:r>
      <w:r w:rsidR="00351CEF" w:rsidRPr="00351CEF">
        <w:rPr>
          <w:b/>
          <w:sz w:val="24"/>
          <w:szCs w:val="24"/>
        </w:rPr>
        <w:t xml:space="preserve"> GA(s)</w:t>
      </w:r>
      <w:r w:rsidRPr="00351CEF">
        <w:rPr>
          <w:b/>
          <w:sz w:val="24"/>
          <w:szCs w:val="24"/>
        </w:rPr>
        <w:t>?</w:t>
      </w:r>
    </w:p>
    <w:p w:rsidR="00AE44A2" w:rsidRDefault="00351CEF" w:rsidP="002C102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It has to be reviewed and approved by ORA grant officers. </w:t>
      </w:r>
    </w:p>
    <w:p w:rsidR="00AA5F2C" w:rsidRPr="00393420" w:rsidRDefault="00AA5F2C" w:rsidP="002C1023">
      <w:pPr>
        <w:spacing w:line="240" w:lineRule="auto"/>
        <w:contextualSpacing/>
        <w:rPr>
          <w:sz w:val="24"/>
          <w:szCs w:val="24"/>
        </w:rPr>
      </w:pPr>
    </w:p>
    <w:p w:rsidR="007574D8" w:rsidRDefault="00250029" w:rsidP="002C1023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Additional </w:t>
      </w:r>
      <w:r w:rsidR="007574D8" w:rsidRPr="00393420">
        <w:rPr>
          <w:b/>
          <w:sz w:val="24"/>
          <w:szCs w:val="24"/>
        </w:rPr>
        <w:t>questions?</w:t>
      </w:r>
      <w:r w:rsidR="007574D8" w:rsidRPr="00393420">
        <w:rPr>
          <w:sz w:val="24"/>
          <w:szCs w:val="24"/>
        </w:rPr>
        <w:t xml:space="preserve"> Contact Jean Miao at </w:t>
      </w:r>
      <w:hyperlink r:id="rId7" w:history="1">
        <w:r w:rsidR="00A5321C" w:rsidRPr="004E1A86">
          <w:rPr>
            <w:rStyle w:val="Hyperlink"/>
            <w:sz w:val="24"/>
            <w:szCs w:val="24"/>
          </w:rPr>
          <w:t>miao@oakland.edu</w:t>
        </w:r>
      </w:hyperlink>
      <w:r w:rsidR="007574D8" w:rsidRPr="00393420">
        <w:rPr>
          <w:sz w:val="24"/>
          <w:szCs w:val="24"/>
        </w:rPr>
        <w:t>.</w:t>
      </w:r>
    </w:p>
    <w:p w:rsidR="00A5321C" w:rsidRDefault="00A5321C" w:rsidP="002C1023">
      <w:pPr>
        <w:spacing w:line="240" w:lineRule="auto"/>
        <w:contextualSpacing/>
        <w:rPr>
          <w:sz w:val="24"/>
          <w:szCs w:val="24"/>
        </w:rPr>
      </w:pPr>
    </w:p>
    <w:p w:rsidR="00A5321C" w:rsidRDefault="00A5321C" w:rsidP="002C1023">
      <w:pPr>
        <w:spacing w:line="240" w:lineRule="auto"/>
        <w:contextualSpacing/>
        <w:rPr>
          <w:sz w:val="24"/>
          <w:szCs w:val="24"/>
        </w:rPr>
      </w:pPr>
    </w:p>
    <w:p w:rsidR="00A5321C" w:rsidRPr="00C9011A" w:rsidRDefault="00A5321C" w:rsidP="002C1023">
      <w:pPr>
        <w:spacing w:line="240" w:lineRule="auto"/>
        <w:contextualSpacing/>
        <w:rPr>
          <w:b/>
          <w:sz w:val="18"/>
          <w:szCs w:val="18"/>
        </w:rPr>
      </w:pPr>
      <w:r w:rsidRPr="00C9011A">
        <w:rPr>
          <w:sz w:val="18"/>
          <w:szCs w:val="18"/>
        </w:rPr>
        <w:t xml:space="preserve">(Revised </w:t>
      </w:r>
      <w:r w:rsidR="00B5085C">
        <w:rPr>
          <w:sz w:val="18"/>
          <w:szCs w:val="18"/>
        </w:rPr>
        <w:t>8/9</w:t>
      </w:r>
      <w:bookmarkStart w:id="0" w:name="_GoBack"/>
      <w:bookmarkEnd w:id="0"/>
      <w:r w:rsidR="005A75B8">
        <w:rPr>
          <w:sz w:val="18"/>
          <w:szCs w:val="18"/>
        </w:rPr>
        <w:t>/201</w:t>
      </w:r>
      <w:r w:rsidR="00562E1F">
        <w:rPr>
          <w:sz w:val="18"/>
          <w:szCs w:val="18"/>
        </w:rPr>
        <w:t>7</w:t>
      </w:r>
      <w:r w:rsidRPr="00C9011A">
        <w:rPr>
          <w:sz w:val="18"/>
          <w:szCs w:val="18"/>
        </w:rPr>
        <w:t>)</w:t>
      </w:r>
    </w:p>
    <w:sectPr w:rsidR="00A5321C" w:rsidRPr="00C9011A" w:rsidSect="00C9011A">
      <w:pgSz w:w="12240" w:h="15840"/>
      <w:pgMar w:top="450" w:right="1440" w:bottom="9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3184F"/>
    <w:multiLevelType w:val="hybridMultilevel"/>
    <w:tmpl w:val="276005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CA"/>
    <w:rsid w:val="0004378C"/>
    <w:rsid w:val="0004500A"/>
    <w:rsid w:val="00090BED"/>
    <w:rsid w:val="0012211F"/>
    <w:rsid w:val="00162D7A"/>
    <w:rsid w:val="0017492F"/>
    <w:rsid w:val="001A22BF"/>
    <w:rsid w:val="001B0151"/>
    <w:rsid w:val="002038C9"/>
    <w:rsid w:val="00250029"/>
    <w:rsid w:val="00280F21"/>
    <w:rsid w:val="00290DA8"/>
    <w:rsid w:val="002926E9"/>
    <w:rsid w:val="002B1B1A"/>
    <w:rsid w:val="002C1023"/>
    <w:rsid w:val="00351CEF"/>
    <w:rsid w:val="00393420"/>
    <w:rsid w:val="003A0386"/>
    <w:rsid w:val="003A08F9"/>
    <w:rsid w:val="003C56DA"/>
    <w:rsid w:val="003D25E7"/>
    <w:rsid w:val="003D33A3"/>
    <w:rsid w:val="004A6006"/>
    <w:rsid w:val="004D0844"/>
    <w:rsid w:val="004D6C60"/>
    <w:rsid w:val="00537A3D"/>
    <w:rsid w:val="00562E1F"/>
    <w:rsid w:val="005A75B8"/>
    <w:rsid w:val="005D4C8F"/>
    <w:rsid w:val="0060195D"/>
    <w:rsid w:val="0063711B"/>
    <w:rsid w:val="006451AD"/>
    <w:rsid w:val="00662711"/>
    <w:rsid w:val="00664CEF"/>
    <w:rsid w:val="00686B6F"/>
    <w:rsid w:val="00691A21"/>
    <w:rsid w:val="006B7794"/>
    <w:rsid w:val="00705806"/>
    <w:rsid w:val="00735B55"/>
    <w:rsid w:val="007574D8"/>
    <w:rsid w:val="00770482"/>
    <w:rsid w:val="007B40A4"/>
    <w:rsid w:val="007D403F"/>
    <w:rsid w:val="00853E3C"/>
    <w:rsid w:val="0089592B"/>
    <w:rsid w:val="008A797A"/>
    <w:rsid w:val="008D44CD"/>
    <w:rsid w:val="00935C10"/>
    <w:rsid w:val="00952D80"/>
    <w:rsid w:val="00956D02"/>
    <w:rsid w:val="0096536D"/>
    <w:rsid w:val="009751D3"/>
    <w:rsid w:val="00991F4D"/>
    <w:rsid w:val="009D219A"/>
    <w:rsid w:val="009E33BB"/>
    <w:rsid w:val="00A5321C"/>
    <w:rsid w:val="00AA0108"/>
    <w:rsid w:val="00AA5F2C"/>
    <w:rsid w:val="00AB03C2"/>
    <w:rsid w:val="00AE44A2"/>
    <w:rsid w:val="00B20F8D"/>
    <w:rsid w:val="00B40F8C"/>
    <w:rsid w:val="00B5085C"/>
    <w:rsid w:val="00B63681"/>
    <w:rsid w:val="00BE7BA2"/>
    <w:rsid w:val="00C1709E"/>
    <w:rsid w:val="00C452C4"/>
    <w:rsid w:val="00C549E3"/>
    <w:rsid w:val="00C642A1"/>
    <w:rsid w:val="00C67EE5"/>
    <w:rsid w:val="00C9011A"/>
    <w:rsid w:val="00CA449A"/>
    <w:rsid w:val="00CC4E51"/>
    <w:rsid w:val="00CF0BF2"/>
    <w:rsid w:val="00D93F7E"/>
    <w:rsid w:val="00DA59EE"/>
    <w:rsid w:val="00DD747D"/>
    <w:rsid w:val="00DE5A7A"/>
    <w:rsid w:val="00E429CA"/>
    <w:rsid w:val="00EB0E59"/>
    <w:rsid w:val="00EB7032"/>
    <w:rsid w:val="00ED1C65"/>
    <w:rsid w:val="00EF2032"/>
    <w:rsid w:val="00F23FEF"/>
    <w:rsid w:val="00F469A4"/>
    <w:rsid w:val="00FC7C9D"/>
    <w:rsid w:val="00FD69FC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76361"/>
  <w15:docId w15:val="{5640A3DE-B506-4BBC-9D32-443ED559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9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59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592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0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1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1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1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ao@oaklan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arch@oakland.edu" TargetMode="External"/><Relationship Id="rId5" Type="http://schemas.openxmlformats.org/officeDocument/2006/relationships/hyperlink" Target="http://catalog.oakland.edu/content.php?catoid=21&amp;navoid=169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HomePC</dc:creator>
  <cp:lastModifiedBy>Barbara A. Kooiman</cp:lastModifiedBy>
  <cp:revision>3</cp:revision>
  <cp:lastPrinted>2015-05-08T19:06:00Z</cp:lastPrinted>
  <dcterms:created xsi:type="dcterms:W3CDTF">2017-08-09T20:01:00Z</dcterms:created>
  <dcterms:modified xsi:type="dcterms:W3CDTF">2017-08-09T20:01:00Z</dcterms:modified>
</cp:coreProperties>
</file>